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3C8C" w14:textId="6F16CB25" w:rsidR="00752287" w:rsidRDefault="00090FC8" w:rsidP="00A00C36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215D5E0" wp14:editId="41F2D8DF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1704975" cy="585812"/>
            <wp:effectExtent l="0" t="0" r="0" b="5080"/>
            <wp:wrapNone/>
            <wp:docPr id="20820473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47318" name="Imagen 20820473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8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EC097" w14:textId="77777777" w:rsidR="00A00C36" w:rsidRPr="00A00C36" w:rsidRDefault="00A00C36" w:rsidP="00A00C36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D748F4E" w14:textId="77777777" w:rsidR="00A00C36" w:rsidRPr="00C11DE1" w:rsidRDefault="005E5C88" w:rsidP="00A00C36">
      <w:pPr>
        <w:spacing w:before="100" w:beforeAutospacing="1"/>
        <w:jc w:val="center"/>
        <w:rPr>
          <w:rFonts w:asciiTheme="minorHAnsi" w:hAnsiTheme="minorHAnsi"/>
          <w:b/>
          <w:bCs/>
          <w:color w:val="C00000"/>
          <w:sz w:val="32"/>
          <w:szCs w:val="32"/>
          <w:lang w:val="en-GB"/>
        </w:rPr>
      </w:pPr>
      <w:r w:rsidRPr="00C11DE1">
        <w:rPr>
          <w:rFonts w:asciiTheme="minorHAnsi" w:hAnsiTheme="minorHAnsi"/>
          <w:b/>
          <w:bCs/>
          <w:color w:val="C00000"/>
          <w:sz w:val="32"/>
          <w:szCs w:val="32"/>
          <w:lang w:val="en-GB"/>
        </w:rPr>
        <w:t xml:space="preserve">Joint AUA–AEU Session: </w:t>
      </w:r>
    </w:p>
    <w:p w14:paraId="26321D4A" w14:textId="328F2A23" w:rsidR="00A00C36" w:rsidRPr="00C11DE1" w:rsidRDefault="005E5C88" w:rsidP="00A00C36">
      <w:pPr>
        <w:spacing w:after="100" w:afterAutospacing="1"/>
        <w:jc w:val="center"/>
        <w:rPr>
          <w:rFonts w:asciiTheme="minorHAnsi" w:hAnsiTheme="minorHAnsi"/>
          <w:color w:val="C00000"/>
          <w:sz w:val="32"/>
          <w:szCs w:val="32"/>
          <w:lang w:val="en-GB"/>
        </w:rPr>
      </w:pPr>
      <w:r w:rsidRPr="00C11DE1">
        <w:rPr>
          <w:rFonts w:asciiTheme="minorHAnsi" w:hAnsiTheme="minorHAnsi"/>
          <w:b/>
          <w:bCs/>
          <w:color w:val="C00000"/>
          <w:sz w:val="32"/>
          <w:szCs w:val="32"/>
          <w:lang w:val="en-GB"/>
        </w:rPr>
        <w:t>“Clinical Practice in the U.S. and Spain – A Transatlantic Forum”</w:t>
      </w:r>
    </w:p>
    <w:p w14:paraId="707E9528" w14:textId="0BAA7AB5" w:rsidR="005E5C88" w:rsidRDefault="005E5C88" w:rsidP="00A00C36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b/>
          <w:bCs/>
          <w:color w:val="000000" w:themeColor="text1"/>
          <w:sz w:val="20"/>
          <w:szCs w:val="20"/>
          <w:lang w:val="en-GB"/>
        </w:rPr>
        <w:t>Duration: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 3 hours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br/>
      </w:r>
      <w:r w:rsidRPr="00C11DE1">
        <w:rPr>
          <w:rFonts w:ascii="Arial Nova Cond" w:hAnsi="Arial Nova Cond"/>
          <w:b/>
          <w:bCs/>
          <w:color w:val="000000" w:themeColor="text1"/>
          <w:sz w:val="20"/>
          <w:szCs w:val="20"/>
          <w:lang w:val="en-GB"/>
        </w:rPr>
        <w:t>Format: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 Interactive forum with live polls, audience questions, and case-based debates.</w:t>
      </w:r>
    </w:p>
    <w:p w14:paraId="4CE2F4E5" w14:textId="189ABA64" w:rsidR="00244BD5" w:rsidRPr="008D50ED" w:rsidRDefault="00244BD5" w:rsidP="00A00C36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s-ES"/>
        </w:rPr>
      </w:pPr>
      <w:r w:rsidRPr="008D50ED">
        <w:rPr>
          <w:rFonts w:ascii="Arial Nova Cond" w:hAnsi="Arial Nova Cond"/>
          <w:color w:val="000000" w:themeColor="text1"/>
          <w:sz w:val="20"/>
          <w:szCs w:val="20"/>
          <w:lang w:val="es-ES"/>
        </w:rPr>
        <w:t>SÁBADO 16 DE MAYO – 13.00 a 15.00</w:t>
      </w:r>
    </w:p>
    <w:p w14:paraId="250B11F9" w14:textId="77777777" w:rsidR="00A00C36" w:rsidRPr="008D50ED" w:rsidRDefault="00A00C36" w:rsidP="00A00C36">
      <w:pPr>
        <w:spacing w:line="276" w:lineRule="auto"/>
        <w:rPr>
          <w:rFonts w:ascii="Arial Nova Cond" w:hAnsi="Arial Nova Cond"/>
          <w:b/>
          <w:bCs/>
          <w:color w:val="000000" w:themeColor="text1"/>
          <w:sz w:val="20"/>
          <w:szCs w:val="20"/>
          <w:lang w:val="es-ES"/>
        </w:rPr>
      </w:pPr>
    </w:p>
    <w:p w14:paraId="62795E2E" w14:textId="77777777" w:rsidR="006F04DB" w:rsidRPr="008D50ED" w:rsidRDefault="006F04DB" w:rsidP="00A00C36">
      <w:pPr>
        <w:spacing w:line="276" w:lineRule="auto"/>
        <w:rPr>
          <w:rFonts w:ascii="Arial Nova Cond" w:hAnsi="Arial Nova Cond"/>
          <w:b/>
          <w:bCs/>
          <w:color w:val="000000" w:themeColor="text1"/>
          <w:sz w:val="20"/>
          <w:szCs w:val="20"/>
          <w:lang w:val="es-ES"/>
        </w:rPr>
      </w:pPr>
    </w:p>
    <w:p w14:paraId="432D117F" w14:textId="4C384064" w:rsidR="005E5C88" w:rsidRPr="008D50ED" w:rsidRDefault="005E5C88" w:rsidP="00A00C36">
      <w:pPr>
        <w:spacing w:line="276" w:lineRule="auto"/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s-ES"/>
        </w:rPr>
      </w:pPr>
      <w:r w:rsidRPr="008D50ED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s-ES"/>
        </w:rPr>
        <w:t>PROGRAMME</w:t>
      </w:r>
    </w:p>
    <w:p w14:paraId="26ACBF6B" w14:textId="77777777" w:rsidR="00A00C36" w:rsidRPr="008D50ED" w:rsidRDefault="00A00C36" w:rsidP="00A00C36">
      <w:pPr>
        <w:spacing w:line="276" w:lineRule="auto"/>
        <w:rPr>
          <w:rFonts w:ascii="Arial Nova Cond" w:hAnsi="Arial Nova Cond"/>
          <w:b/>
          <w:bCs/>
          <w:color w:val="000000" w:themeColor="text1"/>
          <w:sz w:val="20"/>
          <w:szCs w:val="20"/>
          <w:lang w:val="es-ES"/>
        </w:rPr>
      </w:pPr>
    </w:p>
    <w:p w14:paraId="3A256C7F" w14:textId="3FACEF94" w:rsidR="006F04DB" w:rsidRDefault="006F04DB" w:rsidP="006F04DB">
      <w:pPr>
        <w:spacing w:line="276" w:lineRule="auto"/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</w:pPr>
      <w:r w:rsidRPr="008D50ED">
        <w:rPr>
          <w:rFonts w:ascii="Arial Nova Cond" w:hAnsi="Arial Nova Cond"/>
          <w:color w:val="000000" w:themeColor="text1"/>
          <w:sz w:val="20"/>
          <w:szCs w:val="20"/>
          <w:lang w:val="es-ES"/>
        </w:rPr>
        <w:t>Chairs:</w:t>
      </w:r>
      <w:r w:rsidR="00C11DE1" w:rsidRPr="008D50ED">
        <w:rPr>
          <w:rFonts w:ascii="Arial Nova Cond" w:hAnsi="Arial Nova Cond"/>
          <w:color w:val="000000" w:themeColor="text1"/>
          <w:sz w:val="20"/>
          <w:szCs w:val="20"/>
          <w:lang w:val="es-ES"/>
        </w:rPr>
        <w:t xml:space="preserve">  </w:t>
      </w:r>
      <w:r w:rsidRPr="008D50ED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 </w:t>
      </w:r>
      <w:r w:rsidR="00C11DE1" w:rsidRPr="008D50ED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 </w:t>
      </w:r>
      <w:r w:rsidR="00244BD5" w:rsidRPr="008D50ED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>Jorge Gutiérrez Aceves (AUA)</w:t>
      </w:r>
      <w:r w:rsidR="00C11DE1" w:rsidRPr="008D50ED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. </w:t>
      </w:r>
      <w:r w:rsidRPr="00E9506E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>Carmen González Enguit</w:t>
      </w:r>
      <w:r w:rsid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>a</w:t>
      </w:r>
      <w:r w:rsidR="00244BD5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 (AEU)</w:t>
      </w:r>
      <w:r w:rsid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. </w:t>
      </w:r>
      <w:r w:rsidRPr="00E9506E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>José Luis Álvarez-Ossorio</w:t>
      </w:r>
      <w:r w:rsidR="00244BD5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 (AEU)</w:t>
      </w:r>
      <w:r w:rsid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 </w:t>
      </w:r>
    </w:p>
    <w:p w14:paraId="26AF17A5" w14:textId="77777777" w:rsidR="008D50ED" w:rsidRPr="00E33448" w:rsidRDefault="008D50ED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s-ES"/>
        </w:rPr>
      </w:pPr>
    </w:p>
    <w:p w14:paraId="48C01655" w14:textId="3EFAB144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12:00 - 12:05 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Pr="00C11DE1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n-GB"/>
        </w:rPr>
        <w:t>Opening Remarks</w:t>
      </w:r>
    </w:p>
    <w:p w14:paraId="0C259EB0" w14:textId="77777777" w:rsidR="006F04DB" w:rsidRPr="00C11DE1" w:rsidRDefault="006F04DB" w:rsidP="006F04DB">
      <w:pPr>
        <w:spacing w:line="276" w:lineRule="auto"/>
        <w:ind w:left="72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Bridging continents: Shared challenges in urology practice</w:t>
      </w:r>
    </w:p>
    <w:p w14:paraId="1A457751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71183A04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75FF2CCC" w14:textId="0821020A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12:05 - 12:45 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Pr="00C11DE1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n-GB"/>
        </w:rPr>
        <w:t>Prostate Cancer: Screening and Treatment Pathways</w:t>
      </w:r>
    </w:p>
    <w:p w14:paraId="59668E29" w14:textId="28972927" w:rsidR="006F04DB" w:rsidRPr="00C11DE1" w:rsidRDefault="006F04DB" w:rsidP="006F04DB">
      <w:pPr>
        <w:spacing w:line="276" w:lineRule="auto"/>
        <w:ind w:left="72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Moderators: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Juan Gómez Rivas and Stacy Loeb</w:t>
      </w:r>
    </w:p>
    <w:p w14:paraId="4E68A511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1F9165C7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 xml:space="preserve">Case presentation: A 57-Year-Old Man with suspicion of </w:t>
      </w:r>
      <w:proofErr w:type="spellStart"/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harboring</w:t>
      </w:r>
      <w:proofErr w:type="spellEnd"/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 xml:space="preserve"> prostate cancer</w:t>
      </w:r>
    </w:p>
    <w:p w14:paraId="27FA4CA6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Discussion: PSA screening and MRI: How are they implemented in the US vs Spain?</w:t>
      </w:r>
    </w:p>
    <w:p w14:paraId="3C44B0A8" w14:textId="539460B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proofErr w:type="spellStart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Panelists</w:t>
      </w:r>
      <w:proofErr w:type="spellEnd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Juan Gómez Rivas and Stacy Loeb</w:t>
      </w:r>
    </w:p>
    <w:p w14:paraId="3239F047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 </w:t>
      </w:r>
    </w:p>
    <w:p w14:paraId="73C3A610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Abstract presentation</w:t>
      </w:r>
    </w:p>
    <w:p w14:paraId="33C69E96" w14:textId="77777777" w:rsidR="006F04DB" w:rsidRPr="00C11DE1" w:rsidRDefault="006F04DB" w:rsidP="006F04DB">
      <w:pPr>
        <w:spacing w:line="276" w:lineRule="auto"/>
        <w:ind w:left="216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Explainable Radiomics Model on Multiparametric Magnetic Resonance for Predicting Clinically Significant Prostate Cancer through Quantitative Gland-Focused Analysis</w:t>
      </w:r>
    </w:p>
    <w:p w14:paraId="65BEB42F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Azahar Navarro Beltrán</w:t>
      </w:r>
    </w:p>
    <w:p w14:paraId="60136B27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 </w:t>
      </w:r>
    </w:p>
    <w:p w14:paraId="66FD90B6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6402AF93" w14:textId="4D148DF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12:45 - 13:25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Pr="00C11DE1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n-GB"/>
        </w:rPr>
        <w:t>Bladder Cancer: Managing Muscle-Invasive Disease</w:t>
      </w:r>
    </w:p>
    <w:p w14:paraId="561696A2" w14:textId="58842789" w:rsidR="006F04DB" w:rsidRPr="00C11DE1" w:rsidRDefault="006F04DB" w:rsidP="006F04DB">
      <w:pPr>
        <w:spacing w:line="276" w:lineRule="auto"/>
        <w:ind w:left="72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Moderators: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 xml:space="preserve">Tomas Fernández Aparicio </w:t>
      </w:r>
    </w:p>
    <w:p w14:paraId="3B9DA4D6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29C9735F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Case presentation: Muscle-invasive bladder cancer in an elderly patient</w:t>
      </w:r>
    </w:p>
    <w:p w14:paraId="305BBDE2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Discussion: Early cystectomy vs bladder-sparing approaches</w:t>
      </w:r>
    </w:p>
    <w:p w14:paraId="4CE14932" w14:textId="63A94A82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proofErr w:type="spellStart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Panelists</w:t>
      </w:r>
      <w:proofErr w:type="spellEnd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Félix Guerrero and</w:t>
      </w:r>
      <w:r w:rsidR="009A5CC5"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 xml:space="preserve"> Diane Z. Quale</w:t>
      </w:r>
    </w:p>
    <w:p w14:paraId="1C1627D4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1902BAB9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Abstract presentation</w:t>
      </w:r>
    </w:p>
    <w:p w14:paraId="18C2025B" w14:textId="77777777" w:rsidR="006F04DB" w:rsidRPr="00C11DE1" w:rsidRDefault="006F04DB" w:rsidP="006F04DB">
      <w:pPr>
        <w:spacing w:line="276" w:lineRule="auto"/>
        <w:ind w:left="216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En-Bloc Resection of Bladder Tumour vs. conventional TURBT: long-term oncological outcomes from a single-</w:t>
      </w:r>
      <w:proofErr w:type="spellStart"/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center</w:t>
      </w:r>
      <w:proofErr w:type="spellEnd"/>
    </w:p>
    <w:p w14:paraId="65E12AE8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Giulio Avesani</w:t>
      </w:r>
    </w:p>
    <w:p w14:paraId="0A37FBEC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 </w:t>
      </w:r>
    </w:p>
    <w:p w14:paraId="723FC812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47BFD44A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21A4CE7E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20C846F5" w14:textId="253FF4F3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13:25 - 14:05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Pr="00C11DE1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n-GB"/>
        </w:rPr>
        <w:t>Stone Disease: New Technologies and Preventive Strategies</w:t>
      </w:r>
    </w:p>
    <w:p w14:paraId="3E56DDA6" w14:textId="3DF3529E" w:rsidR="006F04DB" w:rsidRPr="00C11DE1" w:rsidRDefault="006F04DB" w:rsidP="006F04DB">
      <w:pPr>
        <w:spacing w:line="276" w:lineRule="auto"/>
        <w:ind w:left="72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Moderators: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Coral Manso and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 </w:t>
      </w:r>
      <w:r w:rsidR="009A5CC5"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Brian Eisner</w:t>
      </w:r>
    </w:p>
    <w:p w14:paraId="25820F6F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0996DEE8" w14:textId="71FD7BD2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Case presentation: Recurrent renal stones in a young adult</w:t>
      </w:r>
    </w:p>
    <w:p w14:paraId="7BF22BFD" w14:textId="0C730DD4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Roundtable:</w:t>
      </w:r>
    </w:p>
    <w:p w14:paraId="148E9494" w14:textId="02F3820D" w:rsidR="006F04DB" w:rsidRPr="00C11DE1" w:rsidRDefault="006F04DB" w:rsidP="006F04DB">
      <w:pPr>
        <w:spacing w:line="276" w:lineRule="auto"/>
        <w:ind w:left="288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Miniaturized surgery, lasers, and outpatient models</w:t>
      </w:r>
    </w:p>
    <w:p w14:paraId="3CE6BB6C" w14:textId="0C25D477" w:rsidR="006F04DB" w:rsidRPr="00C11DE1" w:rsidRDefault="006F04DB" w:rsidP="006F04DB">
      <w:pPr>
        <w:spacing w:line="276" w:lineRule="auto"/>
        <w:ind w:left="360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How prevention is managed across healthcare systems</w:t>
      </w:r>
    </w:p>
    <w:p w14:paraId="221DA1E8" w14:textId="0784B320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proofErr w:type="spellStart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Panelists</w:t>
      </w:r>
      <w:proofErr w:type="spellEnd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Alberto Budia and Brian Eisner</w:t>
      </w:r>
    </w:p>
    <w:p w14:paraId="65D90D7B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52E71D78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Abstract presentation</w:t>
      </w:r>
    </w:p>
    <w:p w14:paraId="0762731E" w14:textId="77777777" w:rsidR="006F04DB" w:rsidRPr="00C11DE1" w:rsidRDefault="006F04DB" w:rsidP="006F04DB">
      <w:pPr>
        <w:spacing w:line="276" w:lineRule="auto"/>
        <w:ind w:left="216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Impact of suction-sheath use in retrograde intrarenal surgery (RIRS) on the attainment of trifecta</w:t>
      </w:r>
    </w:p>
    <w:p w14:paraId="66E6F64D" w14:textId="4215EEB7" w:rsidR="006F04DB" w:rsidRPr="00C11DE1" w:rsidRDefault="00C11DE1" w:rsidP="006F04DB">
      <w:pPr>
        <w:spacing w:line="276" w:lineRule="auto"/>
        <w:ind w:left="1440" w:firstLine="720"/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 xml:space="preserve">Moisés Rodríguez </w:t>
      </w:r>
      <w:proofErr w:type="spellStart"/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Socarrás</w:t>
      </w:r>
      <w:proofErr w:type="spellEnd"/>
    </w:p>
    <w:p w14:paraId="73EB58A4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</w:pPr>
    </w:p>
    <w:p w14:paraId="7896DBA3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</w:pPr>
    </w:p>
    <w:p w14:paraId="4583CED9" w14:textId="6F3F7BF8" w:rsidR="006F04DB" w:rsidRPr="00C11DE1" w:rsidRDefault="006F04DB" w:rsidP="006F04DB">
      <w:pPr>
        <w:spacing w:line="276" w:lineRule="auto"/>
        <w:ind w:left="2160" w:hanging="216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14:05- 14:45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Pr="00C11DE1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n-GB"/>
        </w:rPr>
        <w:t>BPH: Shared Decision-Making and Patient Expectations on minimally invasive surgical approaches</w:t>
      </w:r>
    </w:p>
    <w:p w14:paraId="6CA343BB" w14:textId="50EB52A8" w:rsidR="006F04DB" w:rsidRPr="00E33448" w:rsidRDefault="006F04DB" w:rsidP="006F04DB">
      <w:pPr>
        <w:spacing w:line="276" w:lineRule="auto"/>
        <w:ind w:left="1440" w:firstLine="720"/>
        <w:rPr>
          <w:rFonts w:ascii="Arial Nova Cond" w:hAnsi="Arial Nova Cond"/>
          <w:color w:val="000000" w:themeColor="text1"/>
          <w:sz w:val="20"/>
          <w:szCs w:val="20"/>
          <w:lang w:val="es-ES"/>
        </w:rPr>
      </w:pPr>
      <w:proofErr w:type="spellStart"/>
      <w:r w:rsidRPr="00E33448">
        <w:rPr>
          <w:rFonts w:ascii="Arial Nova Cond" w:hAnsi="Arial Nova Cond"/>
          <w:color w:val="000000" w:themeColor="text1"/>
          <w:sz w:val="20"/>
          <w:szCs w:val="20"/>
          <w:lang w:val="es-ES"/>
        </w:rPr>
        <w:t>Moderator</w:t>
      </w:r>
      <w:proofErr w:type="spellEnd"/>
      <w:r w:rsidRPr="00E33448">
        <w:rPr>
          <w:rFonts w:ascii="Arial Nova Cond" w:hAnsi="Arial Nova Cond"/>
          <w:color w:val="000000" w:themeColor="text1"/>
          <w:sz w:val="20"/>
          <w:szCs w:val="20"/>
          <w:lang w:val="es-ES"/>
        </w:rPr>
        <w:t xml:space="preserve">: </w:t>
      </w:r>
      <w:r w:rsidRPr="00E33448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 xml:space="preserve">María Fernanda Lorenzo and </w:t>
      </w:r>
      <w:r w:rsid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s-ES"/>
        </w:rPr>
        <w:t>Carmen González Enguita</w:t>
      </w:r>
    </w:p>
    <w:p w14:paraId="1B7D86E7" w14:textId="77777777" w:rsidR="006F04DB" w:rsidRPr="00E33448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s-ES"/>
        </w:rPr>
      </w:pPr>
    </w:p>
    <w:p w14:paraId="4E6A4229" w14:textId="1880AD1A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Case presentation: Male patient with LUTS and storage symptoms</w:t>
      </w:r>
    </w:p>
    <w:p w14:paraId="5D790804" w14:textId="1DFFD3B1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Interactive discussion:</w:t>
      </w:r>
    </w:p>
    <w:p w14:paraId="07357B97" w14:textId="25F3F36A" w:rsidR="006F04DB" w:rsidRPr="00C11DE1" w:rsidRDefault="006F04DB" w:rsidP="006F04DB">
      <w:pPr>
        <w:spacing w:line="276" w:lineRule="auto"/>
        <w:ind w:left="360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The role of laser surgery</w:t>
      </w:r>
    </w:p>
    <w:p w14:paraId="29D3062E" w14:textId="6807F12E" w:rsidR="006F04DB" w:rsidRPr="00C11DE1" w:rsidRDefault="006F04DB" w:rsidP="006F04DB">
      <w:pPr>
        <w:spacing w:line="276" w:lineRule="auto"/>
        <w:ind w:left="360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The rise of novel MIST</w:t>
      </w:r>
    </w:p>
    <w:p w14:paraId="3A499BF7" w14:textId="366EEE7E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proofErr w:type="spellStart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Panelists</w:t>
      </w:r>
      <w:proofErr w:type="spellEnd"/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: </w:t>
      </w: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Fernando Gómez Sancha and Daniel Elterman</w:t>
      </w:r>
    </w:p>
    <w:p w14:paraId="61FCB314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</w:p>
    <w:p w14:paraId="34F13244" w14:textId="0001D95F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Abstract presentation</w:t>
      </w:r>
    </w:p>
    <w:p w14:paraId="242224E2" w14:textId="77777777" w:rsidR="006F04DB" w:rsidRPr="00C11DE1" w:rsidRDefault="006F04DB" w:rsidP="006F04DB">
      <w:pPr>
        <w:spacing w:line="276" w:lineRule="auto"/>
        <w:ind w:left="216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Persistent Pharmacologic Management After BPH Surgery: A Real-World Postoperative Evaluation</w:t>
      </w:r>
    </w:p>
    <w:p w14:paraId="4CEDC532" w14:textId="77777777" w:rsidR="006F04DB" w:rsidRPr="00C11DE1" w:rsidRDefault="006F04DB" w:rsidP="006F04DB">
      <w:pPr>
        <w:spacing w:line="276" w:lineRule="auto"/>
        <w:ind w:left="1440" w:firstLine="720"/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 xml:space="preserve">Marta </w:t>
      </w:r>
      <w:proofErr w:type="spellStart"/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>Yagüe</w:t>
      </w:r>
      <w:proofErr w:type="spellEnd"/>
      <w:r w:rsidRPr="00C11DE1">
        <w:rPr>
          <w:rFonts w:ascii="Arial Nova Cond" w:hAnsi="Arial Nova Cond"/>
          <w:i/>
          <w:iCs/>
          <w:color w:val="000000" w:themeColor="text1"/>
          <w:sz w:val="20"/>
          <w:szCs w:val="20"/>
          <w:lang w:val="en-GB"/>
        </w:rPr>
        <w:t xml:space="preserve"> Barrado</w:t>
      </w:r>
    </w:p>
    <w:p w14:paraId="58B2F9DC" w14:textId="77777777" w:rsidR="006F04DB" w:rsidRPr="00C11DE1" w:rsidRDefault="006F04DB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 </w:t>
      </w:r>
    </w:p>
    <w:p w14:paraId="65285FEF" w14:textId="5BC30BBC" w:rsidR="006F04DB" w:rsidRPr="00C11DE1" w:rsidRDefault="00A8240E" w:rsidP="006F04DB">
      <w:pPr>
        <w:spacing w:line="276" w:lineRule="auto"/>
        <w:rPr>
          <w:rFonts w:ascii="Arial Nova Cond" w:hAnsi="Arial Nova Cond"/>
          <w:color w:val="000000" w:themeColor="text1"/>
          <w:sz w:val="20"/>
          <w:szCs w:val="20"/>
          <w:lang w:val="en-GB"/>
        </w:rPr>
      </w:pP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14</w:t>
      </w:r>
      <w:r w:rsidR="006F04DB"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:45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 xml:space="preserve"> - 15</w:t>
      </w:r>
      <w:r w:rsidR="006F04DB"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>:00</w:t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Pr="00C11DE1">
        <w:rPr>
          <w:rFonts w:ascii="Arial Nova Cond" w:hAnsi="Arial Nova Cond"/>
          <w:color w:val="000000" w:themeColor="text1"/>
          <w:sz w:val="20"/>
          <w:szCs w:val="20"/>
          <w:lang w:val="en-GB"/>
        </w:rPr>
        <w:tab/>
      </w:r>
      <w:r w:rsidR="006F04DB" w:rsidRPr="00C11DE1">
        <w:rPr>
          <w:rFonts w:ascii="Arial Nova Cond" w:hAnsi="Arial Nova Cond"/>
          <w:b/>
          <w:bCs/>
          <w:color w:val="153D63" w:themeColor="text2" w:themeTint="E6"/>
          <w:sz w:val="20"/>
          <w:szCs w:val="20"/>
          <w:lang w:val="en-GB"/>
        </w:rPr>
        <w:t>Closing Remarks and Key Takeaways</w:t>
      </w:r>
    </w:p>
    <w:p w14:paraId="3A87FB7F" w14:textId="58F54D0F" w:rsidR="005E5C88" w:rsidRPr="00C11DE1" w:rsidRDefault="006F04DB" w:rsidP="00A8240E">
      <w:pPr>
        <w:spacing w:line="276" w:lineRule="auto"/>
        <w:ind w:left="1440" w:firstLine="720"/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</w:pPr>
      <w:r w:rsidRPr="00C11DE1">
        <w:rPr>
          <w:rFonts w:ascii="Arial Nova Cond" w:hAnsi="Arial Nova Cond"/>
          <w:color w:val="153D63" w:themeColor="text2" w:themeTint="E6"/>
          <w:sz w:val="20"/>
          <w:szCs w:val="20"/>
          <w:lang w:val="en-GB"/>
        </w:rPr>
        <w:t>A roadmap for future AUA–AEU collaboration</w:t>
      </w:r>
    </w:p>
    <w:p w14:paraId="017BE052" w14:textId="77777777" w:rsidR="005E5C88" w:rsidRPr="00C11DE1" w:rsidRDefault="005E5C88" w:rsidP="00A00C36">
      <w:pPr>
        <w:spacing w:line="276" w:lineRule="auto"/>
        <w:rPr>
          <w:rFonts w:asciiTheme="minorHAnsi" w:hAnsiTheme="minorHAnsi"/>
          <w:color w:val="000000" w:themeColor="text1"/>
          <w:sz w:val="20"/>
          <w:szCs w:val="20"/>
          <w:lang w:val="en-GB"/>
        </w:rPr>
      </w:pPr>
    </w:p>
    <w:sectPr w:rsidR="005E5C88" w:rsidRPr="00C11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9A73" w14:textId="77777777" w:rsidR="004A44E1" w:rsidRDefault="004A44E1" w:rsidP="004F15EA">
      <w:r>
        <w:separator/>
      </w:r>
    </w:p>
  </w:endnote>
  <w:endnote w:type="continuationSeparator" w:id="0">
    <w:p w14:paraId="765E600D" w14:textId="77777777" w:rsidR="004A44E1" w:rsidRDefault="004A44E1" w:rsidP="004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6076" w14:textId="77777777" w:rsidR="004F15EA" w:rsidRDefault="004F15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4545" w14:textId="77777777" w:rsidR="004F15EA" w:rsidRDefault="004F15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374B" w14:textId="77777777" w:rsidR="004F15EA" w:rsidRDefault="004F15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D8A1" w14:textId="77777777" w:rsidR="004A44E1" w:rsidRDefault="004A44E1" w:rsidP="004F15EA">
      <w:r>
        <w:separator/>
      </w:r>
    </w:p>
  </w:footnote>
  <w:footnote w:type="continuationSeparator" w:id="0">
    <w:p w14:paraId="5F9AA48D" w14:textId="77777777" w:rsidR="004A44E1" w:rsidRDefault="004A44E1" w:rsidP="004F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F905" w14:textId="00A8D37E" w:rsidR="004F15EA" w:rsidRDefault="00000000">
    <w:pPr>
      <w:pStyle w:val="Encabezado"/>
    </w:pPr>
    <w:r>
      <w:rPr>
        <w:noProof/>
        <w14:ligatures w14:val="standardContextual"/>
      </w:rPr>
      <w:pict w14:anchorId="67C62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21797" o:spid="_x0000_s1029" type="#_x0000_t75" style="position:absolute;margin-left:0;margin-top:0;width:594.7pt;height:778.55pt;z-index:-251657216;mso-position-horizontal:center;mso-position-horizontal-relative:margin;mso-position-vertical:center;mso-position-vertical-relative:margin" o:allowincell="f">
          <v:imagedata r:id="rId1" o:title="Marca-de-agua-pag-AEU-FI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ABFB" w14:textId="392ACA22" w:rsidR="004F15EA" w:rsidRDefault="00000000">
    <w:pPr>
      <w:pStyle w:val="Encabezado"/>
    </w:pPr>
    <w:r>
      <w:rPr>
        <w:noProof/>
        <w14:ligatures w14:val="standardContextual"/>
      </w:rPr>
      <w:pict w14:anchorId="39995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21798" o:spid="_x0000_s1030" type="#_x0000_t75" style="position:absolute;margin-left:0;margin-top:0;width:594.7pt;height:778.55pt;z-index:-251656192;mso-position-horizontal:center;mso-position-horizontal-relative:margin;mso-position-vertical:center;mso-position-vertical-relative:margin" o:allowincell="f">
          <v:imagedata r:id="rId1" o:title="Marca-de-agua-pag-AEU-FI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A65" w14:textId="4AE0230D" w:rsidR="004F15EA" w:rsidRDefault="00000000">
    <w:pPr>
      <w:pStyle w:val="Encabezado"/>
    </w:pPr>
    <w:r>
      <w:rPr>
        <w:noProof/>
        <w14:ligatures w14:val="standardContextual"/>
      </w:rPr>
      <w:pict w14:anchorId="13AD7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21796" o:spid="_x0000_s1028" type="#_x0000_t75" style="position:absolute;margin-left:0;margin-top:0;width:594.7pt;height:778.55pt;z-index:-251658240;mso-position-horizontal:center;mso-position-horizontal-relative:margin;mso-position-vertical:center;mso-position-vertical-relative:margin" o:allowincell="f">
          <v:imagedata r:id="rId1" o:title="Marca-de-agua-pag-AEU-FI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B59"/>
    <w:multiLevelType w:val="multilevel"/>
    <w:tmpl w:val="A5F8A7E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42A93"/>
    <w:multiLevelType w:val="hybridMultilevel"/>
    <w:tmpl w:val="015A2CDA"/>
    <w:lvl w:ilvl="0" w:tplc="D3AE75CA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1D8AABD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51CA"/>
    <w:multiLevelType w:val="hybridMultilevel"/>
    <w:tmpl w:val="F5A8B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5649"/>
    <w:multiLevelType w:val="multilevel"/>
    <w:tmpl w:val="E994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D11A3"/>
    <w:multiLevelType w:val="multilevel"/>
    <w:tmpl w:val="9792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52602"/>
    <w:multiLevelType w:val="multilevel"/>
    <w:tmpl w:val="BE54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26A68"/>
    <w:multiLevelType w:val="multilevel"/>
    <w:tmpl w:val="B90A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1322A"/>
    <w:multiLevelType w:val="multilevel"/>
    <w:tmpl w:val="424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80584"/>
    <w:multiLevelType w:val="multilevel"/>
    <w:tmpl w:val="86AE26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D60B4C"/>
    <w:multiLevelType w:val="multilevel"/>
    <w:tmpl w:val="14A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C2067"/>
    <w:multiLevelType w:val="multilevel"/>
    <w:tmpl w:val="99F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7B57AE"/>
    <w:multiLevelType w:val="multilevel"/>
    <w:tmpl w:val="D21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211C9"/>
    <w:multiLevelType w:val="multilevel"/>
    <w:tmpl w:val="132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80421"/>
    <w:multiLevelType w:val="multilevel"/>
    <w:tmpl w:val="4E5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716E7"/>
    <w:multiLevelType w:val="multilevel"/>
    <w:tmpl w:val="AAD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D67AD"/>
    <w:multiLevelType w:val="multilevel"/>
    <w:tmpl w:val="34A8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E2A20"/>
    <w:multiLevelType w:val="multilevel"/>
    <w:tmpl w:val="B63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D14E0"/>
    <w:multiLevelType w:val="multilevel"/>
    <w:tmpl w:val="0D6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B26D3"/>
    <w:multiLevelType w:val="multilevel"/>
    <w:tmpl w:val="2F7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35E4C"/>
    <w:multiLevelType w:val="multilevel"/>
    <w:tmpl w:val="A9CE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861E8"/>
    <w:multiLevelType w:val="multilevel"/>
    <w:tmpl w:val="C01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B227A"/>
    <w:multiLevelType w:val="multilevel"/>
    <w:tmpl w:val="90F8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0283045">
    <w:abstractNumId w:val="12"/>
  </w:num>
  <w:num w:numId="2" w16cid:durableId="766193040">
    <w:abstractNumId w:val="15"/>
  </w:num>
  <w:num w:numId="3" w16cid:durableId="1963413711">
    <w:abstractNumId w:val="3"/>
  </w:num>
  <w:num w:numId="4" w16cid:durableId="966474834">
    <w:abstractNumId w:val="17"/>
  </w:num>
  <w:num w:numId="5" w16cid:durableId="391654832">
    <w:abstractNumId w:val="9"/>
  </w:num>
  <w:num w:numId="6" w16cid:durableId="1885482642">
    <w:abstractNumId w:val="16"/>
  </w:num>
  <w:num w:numId="7" w16cid:durableId="740759481">
    <w:abstractNumId w:val="13"/>
  </w:num>
  <w:num w:numId="8" w16cid:durableId="57898787">
    <w:abstractNumId w:val="14"/>
  </w:num>
  <w:num w:numId="9" w16cid:durableId="1458597563">
    <w:abstractNumId w:val="11"/>
  </w:num>
  <w:num w:numId="10" w16cid:durableId="944728600">
    <w:abstractNumId w:val="7"/>
  </w:num>
  <w:num w:numId="11" w16cid:durableId="436174128">
    <w:abstractNumId w:val="18"/>
  </w:num>
  <w:num w:numId="12" w16cid:durableId="1685355240">
    <w:abstractNumId w:val="19"/>
  </w:num>
  <w:num w:numId="13" w16cid:durableId="1555118328">
    <w:abstractNumId w:val="20"/>
  </w:num>
  <w:num w:numId="14" w16cid:durableId="237178662">
    <w:abstractNumId w:val="5"/>
  </w:num>
  <w:num w:numId="15" w16cid:durableId="436758057">
    <w:abstractNumId w:val="4"/>
  </w:num>
  <w:num w:numId="16" w16cid:durableId="703557023">
    <w:abstractNumId w:val="0"/>
  </w:num>
  <w:num w:numId="17" w16cid:durableId="1273706647">
    <w:abstractNumId w:val="10"/>
  </w:num>
  <w:num w:numId="18" w16cid:durableId="1720011808">
    <w:abstractNumId w:val="8"/>
  </w:num>
  <w:num w:numId="19" w16cid:durableId="1567646696">
    <w:abstractNumId w:val="6"/>
  </w:num>
  <w:num w:numId="20" w16cid:durableId="1631478223">
    <w:abstractNumId w:val="21"/>
  </w:num>
  <w:num w:numId="21" w16cid:durableId="726150277">
    <w:abstractNumId w:val="2"/>
  </w:num>
  <w:num w:numId="22" w16cid:durableId="69173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31"/>
    <w:rsid w:val="00090FC8"/>
    <w:rsid w:val="0009471E"/>
    <w:rsid w:val="00100BD4"/>
    <w:rsid w:val="00244BD5"/>
    <w:rsid w:val="00306DDC"/>
    <w:rsid w:val="003A2686"/>
    <w:rsid w:val="00481536"/>
    <w:rsid w:val="004A264F"/>
    <w:rsid w:val="004A44E1"/>
    <w:rsid w:val="004C266E"/>
    <w:rsid w:val="004F15EA"/>
    <w:rsid w:val="005A6AA3"/>
    <w:rsid w:val="005D2C51"/>
    <w:rsid w:val="005E5C88"/>
    <w:rsid w:val="006B2704"/>
    <w:rsid w:val="006F04DB"/>
    <w:rsid w:val="00731870"/>
    <w:rsid w:val="00752287"/>
    <w:rsid w:val="00776E7E"/>
    <w:rsid w:val="007F029D"/>
    <w:rsid w:val="00836385"/>
    <w:rsid w:val="008437E8"/>
    <w:rsid w:val="008D50ED"/>
    <w:rsid w:val="008D723C"/>
    <w:rsid w:val="008F582E"/>
    <w:rsid w:val="00925004"/>
    <w:rsid w:val="009A5CC5"/>
    <w:rsid w:val="009B1D68"/>
    <w:rsid w:val="00A00C36"/>
    <w:rsid w:val="00A8240E"/>
    <w:rsid w:val="00B34E3C"/>
    <w:rsid w:val="00B524D8"/>
    <w:rsid w:val="00C018F1"/>
    <w:rsid w:val="00C11DE1"/>
    <w:rsid w:val="00C23E31"/>
    <w:rsid w:val="00C26BFC"/>
    <w:rsid w:val="00C51978"/>
    <w:rsid w:val="00C55A2A"/>
    <w:rsid w:val="00D047CE"/>
    <w:rsid w:val="00D97BE8"/>
    <w:rsid w:val="00DA1DE3"/>
    <w:rsid w:val="00E33448"/>
    <w:rsid w:val="00E439F8"/>
    <w:rsid w:val="00E86EF7"/>
    <w:rsid w:val="00E9506E"/>
    <w:rsid w:val="00EE7E42"/>
    <w:rsid w:val="00F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433C7"/>
  <w15:chartTrackingRefBased/>
  <w15:docId w15:val="{A3DB5D5A-EE32-454A-BB60-7994CA26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D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3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3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3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23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23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E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E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E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E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E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E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3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2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2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23E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3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23E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E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3E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E31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C23E31"/>
    <w:rPr>
      <w:b/>
      <w:bCs/>
    </w:rPr>
  </w:style>
  <w:style w:type="character" w:styleId="nfasis">
    <w:name w:val="Emphasis"/>
    <w:basedOn w:val="Fuentedeprrafopredeter"/>
    <w:uiPriority w:val="20"/>
    <w:qFormat/>
    <w:rsid w:val="00C23E31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F15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5EA"/>
    <w:rPr>
      <w:rFonts w:ascii="Times New Roman" w:eastAsia="Times New Roman" w:hAnsi="Times New Roman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15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5E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Gómez Rivas</dc:creator>
  <cp:keywords/>
  <dc:description/>
  <cp:lastModifiedBy>Cristinta López Lobo</cp:lastModifiedBy>
  <cp:revision>13</cp:revision>
  <cp:lastPrinted>2026-03-02T12:54:00Z</cp:lastPrinted>
  <dcterms:created xsi:type="dcterms:W3CDTF">2026-03-02T12:02:00Z</dcterms:created>
  <dcterms:modified xsi:type="dcterms:W3CDTF">2026-03-19T09:37:00Z</dcterms:modified>
</cp:coreProperties>
</file>