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3FF6" w14:textId="189F1FAB" w:rsidR="00BE73BE" w:rsidRDefault="00DA43E9" w:rsidP="00A65AE9">
      <w:pPr>
        <w:pStyle w:val="Ttulo1"/>
        <w:spacing w:line="240" w:lineRule="auto"/>
        <w:rPr>
          <w:sz w:val="28"/>
          <w:szCs w:val="28"/>
        </w:rPr>
      </w:pPr>
      <w:r w:rsidRPr="00DA43E9">
        <w:rPr>
          <w:sz w:val="28"/>
          <w:szCs w:val="28"/>
        </w:rPr>
        <w:t>Programa Estatal de Transferencia y Colaboración (PEICTI 2024-2027)</w:t>
      </w:r>
      <w:r w:rsidR="00654D68" w:rsidRPr="00654D68">
        <w:rPr>
          <w:sz w:val="28"/>
          <w:szCs w:val="28"/>
        </w:rPr>
        <w:t xml:space="preserve"> </w:t>
      </w:r>
    </w:p>
    <w:p w14:paraId="3FB096A9" w14:textId="65E4BCDE" w:rsidR="00A65AE9" w:rsidRPr="00A65AE9" w:rsidRDefault="00DA43E9" w:rsidP="00A65AE9">
      <w:r w:rsidRPr="00DA43E9">
        <w:t xml:space="preserve">La Agencia Estatal de Investigación (AEI) ha abierto la convocatoria </w:t>
      </w:r>
      <w:r w:rsidRPr="00DA43E9">
        <w:rPr>
          <w:b/>
          <w:bCs/>
        </w:rPr>
        <w:t>Redes de Investigación 2026</w:t>
      </w:r>
      <w:r w:rsidRPr="00DA43E9">
        <w:t>, destinada a financiar actuaciones de coordinación científica orientadas a fortalecer la colaboración entre grupos de investigación, promover la transferencia de conocimiento y generar sinergias en ámbitos estratégicos de I+D+i.</w:t>
      </w:r>
    </w:p>
    <w:p w14:paraId="4A743AAD" w14:textId="6A3535AC" w:rsidR="009F71E5" w:rsidRPr="00975820" w:rsidRDefault="009F71E5" w:rsidP="009F71E5">
      <w:pPr>
        <w:pStyle w:val="Ttulo3"/>
        <w:spacing w:line="240" w:lineRule="auto"/>
      </w:pPr>
      <w:r>
        <w:rPr>
          <w:rStyle w:val="Textoennegrita"/>
          <w:b w:val="0"/>
          <w:bCs w:val="0"/>
        </w:rPr>
        <w:t xml:space="preserve">1. </w:t>
      </w:r>
      <w:r w:rsidR="00975820">
        <w:rPr>
          <w:rStyle w:val="Textoennegrita"/>
          <w:b w:val="0"/>
          <w:bCs w:val="0"/>
        </w:rPr>
        <w:t>OBJETO DE LA CONVOCATORIA</w:t>
      </w:r>
    </w:p>
    <w:p w14:paraId="78673BAE" w14:textId="77777777" w:rsidR="00DA43E9" w:rsidRPr="00DA43E9" w:rsidRDefault="00DA43E9" w:rsidP="00DA43E9">
      <w:r w:rsidRPr="00DA43E9">
        <w:t>Estas ayudas tienen como finalidad impulsar la creación y consolidación de redes estables de cooperación científica, favoreciendo la vertebración del sistema de investigación español y el desarrollo de iniciativas colaborativas de alto impacto.</w:t>
      </w:r>
    </w:p>
    <w:p w14:paraId="20A14862" w14:textId="2B697D9F" w:rsidR="00654D68" w:rsidRPr="00DA43E9" w:rsidRDefault="00DA43E9" w:rsidP="00DA43E9">
      <w:pPr>
        <w:spacing w:before="0" w:after="0" w:line="240" w:lineRule="auto"/>
        <w:rPr>
          <w:rFonts w:eastAsia="Times New Roman" w:cs="Times New Roman"/>
          <w:lang w:eastAsia="es-ES_tradnl"/>
        </w:rPr>
      </w:pPr>
      <w:r w:rsidRPr="00DA43E9">
        <w:t xml:space="preserve">Es importante destacar que la convocatoria </w:t>
      </w:r>
      <w:r w:rsidRPr="00DA43E9">
        <w:rPr>
          <w:b/>
          <w:bCs/>
        </w:rPr>
        <w:t>no financia proyectos de investigación</w:t>
      </w:r>
      <w:r w:rsidRPr="00DA43E9">
        <w:t>, sino actividades de coordinación, intercambio de conocimiento y planificación conjunta entre grupos e instituciones</w:t>
      </w:r>
      <w:r w:rsidRPr="00A65AE9">
        <w:t>.</w:t>
      </w:r>
    </w:p>
    <w:p w14:paraId="66EFAC76" w14:textId="6662A23A" w:rsidR="009F71E5" w:rsidRDefault="00EE23DF" w:rsidP="00654D68">
      <w:pPr>
        <w:spacing w:before="0" w:after="0" w:line="240" w:lineRule="auto"/>
      </w:pPr>
      <w:r>
        <w:rPr>
          <w:noProof/>
        </w:rPr>
        <w:pict w14:anchorId="07A8E258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13B80E73" w14:textId="289F9FB0" w:rsidR="009F71E5" w:rsidRDefault="009F71E5" w:rsidP="009F71E5">
      <w:pPr>
        <w:pStyle w:val="Ttulo3"/>
        <w:spacing w:line="240" w:lineRule="auto"/>
      </w:pPr>
      <w:r>
        <w:rPr>
          <w:rStyle w:val="Textoennegrita"/>
          <w:b w:val="0"/>
          <w:bCs w:val="0"/>
        </w:rPr>
        <w:t xml:space="preserve">2. </w:t>
      </w:r>
      <w:r w:rsidR="00DA43E9" w:rsidRPr="00DA43E9">
        <w:t>Modalidades financiables</w:t>
      </w:r>
    </w:p>
    <w:p w14:paraId="340F9A75" w14:textId="77777777" w:rsidR="00DA43E9" w:rsidRPr="00DA43E9" w:rsidRDefault="00DA43E9" w:rsidP="00DA43E9">
      <w:pPr>
        <w:spacing w:after="0" w:line="240" w:lineRule="auto"/>
      </w:pPr>
      <w:r w:rsidRPr="00DA43E9">
        <w:t>La convocatoria contempla las siguientes modalidades:</w:t>
      </w:r>
    </w:p>
    <w:p w14:paraId="55A55C22" w14:textId="77777777" w:rsidR="00DA43E9" w:rsidRPr="00DA43E9" w:rsidRDefault="00DA43E9" w:rsidP="00DA43E9">
      <w:pPr>
        <w:spacing w:after="0" w:line="240" w:lineRule="auto"/>
      </w:pPr>
      <w:r w:rsidRPr="00DA43E9">
        <w:rPr>
          <w:b/>
          <w:bCs/>
        </w:rPr>
        <w:t>A. Redes Temáticas</w:t>
      </w:r>
    </w:p>
    <w:p w14:paraId="43CC7831" w14:textId="77777777" w:rsidR="00DA43E9" w:rsidRPr="00DA43E9" w:rsidRDefault="00DA43E9" w:rsidP="00DA43E9">
      <w:pPr>
        <w:numPr>
          <w:ilvl w:val="0"/>
          <w:numId w:val="27"/>
        </w:numPr>
        <w:spacing w:after="0" w:line="240" w:lineRule="auto"/>
      </w:pPr>
      <w:r w:rsidRPr="00DA43E9">
        <w:t xml:space="preserve">Dirigidas a grupos de investigación que compartan objetivos científicos comunes. </w:t>
      </w:r>
    </w:p>
    <w:p w14:paraId="162BC299" w14:textId="77777777" w:rsidR="00DA43E9" w:rsidRPr="00DA43E9" w:rsidRDefault="00DA43E9" w:rsidP="00DA43E9">
      <w:pPr>
        <w:numPr>
          <w:ilvl w:val="0"/>
          <w:numId w:val="27"/>
        </w:numPr>
        <w:spacing w:after="0" w:line="240" w:lineRule="auto"/>
      </w:pPr>
      <w:r w:rsidRPr="00DA43E9">
        <w:t xml:space="preserve">Orientadas a fomentar la colaboración, el intercambio de conocimiento y la generación de nuevas iniciativas conjuntas. </w:t>
      </w:r>
    </w:p>
    <w:p w14:paraId="27D53669" w14:textId="77777777" w:rsidR="00DA43E9" w:rsidRPr="00DA43E9" w:rsidRDefault="00DA43E9" w:rsidP="00DA43E9">
      <w:pPr>
        <w:spacing w:after="0" w:line="240" w:lineRule="auto"/>
      </w:pPr>
      <w:r w:rsidRPr="00DA43E9">
        <w:rPr>
          <w:b/>
          <w:bCs/>
        </w:rPr>
        <w:t>B. Redes de Infraestructuras Científicas y Técnicas Singulares (ICTS)</w:t>
      </w:r>
    </w:p>
    <w:p w14:paraId="399510EB" w14:textId="77777777" w:rsidR="00DA43E9" w:rsidRPr="00DA43E9" w:rsidRDefault="00DA43E9" w:rsidP="00DA43E9">
      <w:pPr>
        <w:numPr>
          <w:ilvl w:val="0"/>
          <w:numId w:val="28"/>
        </w:numPr>
        <w:spacing w:after="0" w:line="240" w:lineRule="auto"/>
      </w:pPr>
      <w:r w:rsidRPr="00DA43E9">
        <w:t xml:space="preserve">Destinadas a fortalecer la coordinación entre infraestructuras científico-técnicas de referencia. </w:t>
      </w:r>
    </w:p>
    <w:p w14:paraId="26B6D8BF" w14:textId="77777777" w:rsidR="00DA43E9" w:rsidRPr="00DA43E9" w:rsidRDefault="00DA43E9" w:rsidP="00DA43E9">
      <w:pPr>
        <w:spacing w:after="0" w:line="240" w:lineRule="auto"/>
      </w:pPr>
      <w:r w:rsidRPr="00DA43E9">
        <w:rPr>
          <w:b/>
          <w:bCs/>
        </w:rPr>
        <w:t>C. Redes Estratégicas</w:t>
      </w:r>
    </w:p>
    <w:p w14:paraId="4FA5D4E7" w14:textId="77777777" w:rsidR="00DA43E9" w:rsidRPr="00DA43E9" w:rsidRDefault="00DA43E9" w:rsidP="00DA43E9">
      <w:pPr>
        <w:numPr>
          <w:ilvl w:val="0"/>
          <w:numId w:val="29"/>
        </w:numPr>
        <w:spacing w:after="0" w:line="240" w:lineRule="auto"/>
      </w:pPr>
      <w:r w:rsidRPr="00DA43E9">
        <w:t xml:space="preserve">Enfocadas a áreas científicas consideradas prioritarias o estratégicas para el sistema de I+D+i. </w:t>
      </w:r>
    </w:p>
    <w:p w14:paraId="27E580A1" w14:textId="77777777" w:rsidR="00DA43E9" w:rsidRPr="00DA43E9" w:rsidRDefault="00DA43E9" w:rsidP="00DA43E9">
      <w:pPr>
        <w:spacing w:after="0" w:line="240" w:lineRule="auto"/>
      </w:pPr>
      <w:r w:rsidRPr="00DA43E9">
        <w:rPr>
          <w:b/>
          <w:bCs/>
        </w:rPr>
        <w:t>D. Redes de Planes Complementarios</w:t>
      </w:r>
    </w:p>
    <w:p w14:paraId="2A846ABE" w14:textId="77777777" w:rsidR="00DA43E9" w:rsidRPr="00DA43E9" w:rsidRDefault="00DA43E9" w:rsidP="00DA43E9">
      <w:pPr>
        <w:numPr>
          <w:ilvl w:val="0"/>
          <w:numId w:val="30"/>
        </w:numPr>
        <w:spacing w:after="0" w:line="240" w:lineRule="auto"/>
      </w:pPr>
      <w:r w:rsidRPr="00DA43E9">
        <w:t>Orientadas a la coordinación de actividades vinculadas a los Planes Complementarios impulsados por la Administración General del Estado y las Comunidades Autónomas.</w:t>
      </w:r>
    </w:p>
    <w:p w14:paraId="36F23B42" w14:textId="763D8845" w:rsidR="009F71E5" w:rsidRDefault="00EE23DF" w:rsidP="00654D68">
      <w:pPr>
        <w:spacing w:after="0" w:line="240" w:lineRule="auto"/>
      </w:pPr>
      <w:r>
        <w:rPr>
          <w:noProof/>
        </w:rPr>
        <w:pict w14:anchorId="74FFF2CD">
          <v:rect id="_x0000_i1037" alt="" style="width:450.85pt;height:.05pt;mso-width-percent:0;mso-height-percent:0;mso-width-percent:0;mso-height-percent:0" o:hrpct="999" o:hralign="center" o:hrstd="t" o:hr="t" fillcolor="#a0a0a0" stroked="f"/>
        </w:pict>
      </w:r>
    </w:p>
    <w:p w14:paraId="05D823FA" w14:textId="2EA40406" w:rsidR="009F71E5" w:rsidRDefault="009F71E5" w:rsidP="009F71E5">
      <w:pPr>
        <w:pStyle w:val="Ttulo3"/>
        <w:spacing w:line="240" w:lineRule="auto"/>
      </w:pPr>
      <w:r>
        <w:rPr>
          <w:rStyle w:val="Textoennegrita"/>
          <w:b w:val="0"/>
          <w:bCs w:val="0"/>
        </w:rPr>
        <w:t xml:space="preserve">3. </w:t>
      </w:r>
      <w:r w:rsidR="00DA43E9" w:rsidRPr="00DA43E9">
        <w:t>Beneficiarios</w:t>
      </w:r>
    </w:p>
    <w:p w14:paraId="0A1E4F38" w14:textId="77777777" w:rsidR="00DA43E9" w:rsidRPr="00DA43E9" w:rsidRDefault="00DA43E9" w:rsidP="00DA43E9">
      <w:pPr>
        <w:spacing w:after="0" w:line="240" w:lineRule="auto"/>
      </w:pPr>
      <w:r w:rsidRPr="00DA43E9">
        <w:t>Podrán participar organismos públicos y privados de investigación que cumplan los requisitos establecidos en la convocatoria, incluyendo:</w:t>
      </w:r>
    </w:p>
    <w:p w14:paraId="47D1CF77" w14:textId="77777777" w:rsidR="00DA43E9" w:rsidRPr="00DA43E9" w:rsidRDefault="00DA43E9" w:rsidP="00DA43E9">
      <w:pPr>
        <w:numPr>
          <w:ilvl w:val="0"/>
          <w:numId w:val="31"/>
        </w:numPr>
        <w:spacing w:before="0" w:after="0" w:line="240" w:lineRule="auto"/>
      </w:pPr>
      <w:r w:rsidRPr="00DA43E9">
        <w:t xml:space="preserve">Universidades. </w:t>
      </w:r>
    </w:p>
    <w:p w14:paraId="5710E3F1" w14:textId="77777777" w:rsidR="00DA43E9" w:rsidRPr="00DA43E9" w:rsidRDefault="00DA43E9" w:rsidP="00DA43E9">
      <w:pPr>
        <w:numPr>
          <w:ilvl w:val="0"/>
          <w:numId w:val="31"/>
        </w:numPr>
        <w:spacing w:before="0" w:after="0" w:line="240" w:lineRule="auto"/>
      </w:pPr>
      <w:r w:rsidRPr="00DA43E9">
        <w:t xml:space="preserve">Institutos de Investigación Sanitaria acreditados. </w:t>
      </w:r>
    </w:p>
    <w:p w14:paraId="3E057AFA" w14:textId="77777777" w:rsidR="00DA43E9" w:rsidRPr="00DA43E9" w:rsidRDefault="00DA43E9" w:rsidP="00DA43E9">
      <w:pPr>
        <w:numPr>
          <w:ilvl w:val="0"/>
          <w:numId w:val="31"/>
        </w:numPr>
        <w:spacing w:before="0" w:after="0" w:line="240" w:lineRule="auto"/>
      </w:pPr>
      <w:r w:rsidRPr="00DA43E9">
        <w:t xml:space="preserve">Organismos Públicos de Investigación (OPI). </w:t>
      </w:r>
    </w:p>
    <w:p w14:paraId="734BAE45" w14:textId="77777777" w:rsidR="00DA43E9" w:rsidRPr="00DA43E9" w:rsidRDefault="00DA43E9" w:rsidP="00DA43E9">
      <w:pPr>
        <w:numPr>
          <w:ilvl w:val="0"/>
          <w:numId w:val="31"/>
        </w:numPr>
        <w:spacing w:before="0" w:after="0" w:line="240" w:lineRule="auto"/>
      </w:pPr>
      <w:r w:rsidRPr="00DA43E9">
        <w:t xml:space="preserve">Fundaciones y entidades con actividad investigadora. </w:t>
      </w:r>
    </w:p>
    <w:p w14:paraId="2F521789" w14:textId="199F40FA" w:rsidR="009F71E5" w:rsidRDefault="00DA43E9" w:rsidP="00654D68">
      <w:pPr>
        <w:numPr>
          <w:ilvl w:val="0"/>
          <w:numId w:val="31"/>
        </w:numPr>
        <w:spacing w:before="0" w:after="0" w:line="240" w:lineRule="auto"/>
      </w:pPr>
      <w:r w:rsidRPr="00DA43E9">
        <w:t>Centros tecnológicos y otras entidades de I+D+i.</w:t>
      </w:r>
    </w:p>
    <w:p w14:paraId="7B5DA66D" w14:textId="77777777" w:rsidR="009F71E5" w:rsidRDefault="00EE23DF" w:rsidP="009F71E5">
      <w:pPr>
        <w:spacing w:before="0" w:after="0" w:line="240" w:lineRule="auto"/>
      </w:pPr>
      <w:r>
        <w:rPr>
          <w:noProof/>
        </w:rPr>
        <w:pict w14:anchorId="1A12A274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52C6A4A0" w14:textId="501F11CF" w:rsidR="009F71E5" w:rsidRPr="00975820" w:rsidRDefault="009F71E5" w:rsidP="009F71E5">
      <w:pPr>
        <w:pStyle w:val="Ttulo3"/>
        <w:spacing w:line="240" w:lineRule="auto"/>
      </w:pPr>
      <w:r>
        <w:rPr>
          <w:rStyle w:val="Textoennegrita"/>
          <w:b w:val="0"/>
          <w:bCs w:val="0"/>
        </w:rPr>
        <w:lastRenderedPageBreak/>
        <w:t xml:space="preserve">4. </w:t>
      </w:r>
      <w:r w:rsidR="00DA43E9" w:rsidRPr="00DA43E9">
        <w:t>Requisitos de la persona coordinadora</w:t>
      </w:r>
    </w:p>
    <w:p w14:paraId="5A4D59B3" w14:textId="77777777" w:rsidR="00DA43E9" w:rsidRPr="00DA43E9" w:rsidRDefault="00DA43E9" w:rsidP="00DA43E9">
      <w:pPr>
        <w:spacing w:after="0" w:line="240" w:lineRule="auto"/>
      </w:pPr>
      <w:r w:rsidRPr="00DA43E9">
        <w:t xml:space="preserve">En las </w:t>
      </w:r>
      <w:r w:rsidRPr="00DA43E9">
        <w:rPr>
          <w:b/>
          <w:bCs/>
        </w:rPr>
        <w:t>Redes Temáticas</w:t>
      </w:r>
      <w:r w:rsidRPr="00DA43E9">
        <w:t>, la persona coordinadora deberá haber participado como Investigador/a Principal en proyectos competitivos financiados por la AEI dentro de las convocatorias de Generación de Conocimiento contempladas en las bases reguladoras.</w:t>
      </w:r>
    </w:p>
    <w:p w14:paraId="6477192B" w14:textId="77777777" w:rsidR="00DA43E9" w:rsidRPr="00DA43E9" w:rsidRDefault="00DA43E9" w:rsidP="00DA43E9">
      <w:pPr>
        <w:spacing w:after="0" w:line="240" w:lineRule="auto"/>
      </w:pPr>
      <w:r w:rsidRPr="00DA43E9">
        <w:t>Asimismo:</w:t>
      </w:r>
    </w:p>
    <w:p w14:paraId="480D6B1A" w14:textId="77777777" w:rsidR="00DA43E9" w:rsidRPr="00DA43E9" w:rsidRDefault="00DA43E9" w:rsidP="00DA43E9">
      <w:pPr>
        <w:numPr>
          <w:ilvl w:val="0"/>
          <w:numId w:val="32"/>
        </w:numPr>
        <w:spacing w:after="0" w:line="240" w:lineRule="auto"/>
      </w:pPr>
      <w:r w:rsidRPr="00DA43E9">
        <w:t xml:space="preserve">Cada persona coordinadora únicamente podrá participar como tal en una solicitud. </w:t>
      </w:r>
    </w:p>
    <w:p w14:paraId="4BD6659C" w14:textId="3294EDCB" w:rsidR="00654D68" w:rsidRPr="00654D68" w:rsidRDefault="00DA43E9" w:rsidP="00DA43E9">
      <w:pPr>
        <w:numPr>
          <w:ilvl w:val="0"/>
          <w:numId w:val="32"/>
        </w:numPr>
        <w:spacing w:after="0" w:line="240" w:lineRule="auto"/>
      </w:pPr>
      <w:r w:rsidRPr="00DA43E9">
        <w:t>Las redes deberán estar constituidas por grupos con experiencia científica acreditada y capacidad para desarrollar actividades colaborativas de alcance nacional.</w:t>
      </w:r>
    </w:p>
    <w:p w14:paraId="5E49E5A1" w14:textId="40898030" w:rsidR="009F71E5" w:rsidRDefault="00EE23DF" w:rsidP="00A65AE9">
      <w:pPr>
        <w:spacing w:before="0" w:after="0" w:line="240" w:lineRule="auto"/>
      </w:pPr>
      <w:r>
        <w:rPr>
          <w:noProof/>
        </w:rPr>
        <w:pict w14:anchorId="57EEF8E8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53FB42DB" w14:textId="232A2D93" w:rsidR="009F71E5" w:rsidRDefault="009F71E5" w:rsidP="009F71E5">
      <w:pPr>
        <w:pStyle w:val="Ttulo3"/>
        <w:spacing w:line="240" w:lineRule="auto"/>
      </w:pPr>
      <w:r>
        <w:rPr>
          <w:rStyle w:val="Textoennegrita"/>
          <w:b w:val="0"/>
          <w:bCs w:val="0"/>
        </w:rPr>
        <w:t xml:space="preserve">5. </w:t>
      </w:r>
      <w:r w:rsidR="00DA43E9" w:rsidRPr="00DA43E9">
        <w:t>Financiación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969"/>
      </w:tblGrid>
      <w:tr w:rsidR="00DA43E9" w:rsidRPr="00DA43E9" w14:paraId="3253B64F" w14:textId="77777777" w:rsidTr="00DA43E9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BBCD23D" w14:textId="77777777" w:rsidR="00DA43E9" w:rsidRPr="00DA43E9" w:rsidRDefault="00DA43E9" w:rsidP="00DA43E9">
            <w:pPr>
              <w:rPr>
                <w:b/>
                <w:bCs/>
              </w:rPr>
            </w:pPr>
            <w:r w:rsidRPr="00DA43E9">
              <w:rPr>
                <w:b/>
                <w:bCs/>
              </w:rPr>
              <w:t>Modalidad</w:t>
            </w:r>
          </w:p>
        </w:tc>
        <w:tc>
          <w:tcPr>
            <w:tcW w:w="3924" w:type="dxa"/>
            <w:vAlign w:val="center"/>
            <w:hideMark/>
          </w:tcPr>
          <w:p w14:paraId="55DA49F2" w14:textId="77777777" w:rsidR="00DA43E9" w:rsidRPr="00DA43E9" w:rsidRDefault="00DA43E9" w:rsidP="00DA43E9">
            <w:pPr>
              <w:rPr>
                <w:b/>
                <w:bCs/>
              </w:rPr>
            </w:pPr>
            <w:r w:rsidRPr="00DA43E9">
              <w:rPr>
                <w:b/>
                <w:bCs/>
              </w:rPr>
              <w:t>Financiación máxima</w:t>
            </w:r>
          </w:p>
        </w:tc>
      </w:tr>
      <w:tr w:rsidR="00DA43E9" w:rsidRPr="00DA43E9" w14:paraId="36D6F64B" w14:textId="77777777" w:rsidTr="00DA43E9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5085D608" w14:textId="77777777" w:rsidR="00DA43E9" w:rsidRPr="00DA43E9" w:rsidRDefault="00DA43E9" w:rsidP="00DA43E9">
            <w:r w:rsidRPr="00DA43E9">
              <w:t>Redes Temáticas</w:t>
            </w:r>
          </w:p>
        </w:tc>
        <w:tc>
          <w:tcPr>
            <w:tcW w:w="3924" w:type="dxa"/>
            <w:vAlign w:val="center"/>
            <w:hideMark/>
          </w:tcPr>
          <w:p w14:paraId="3970C8DF" w14:textId="77777777" w:rsidR="00DA43E9" w:rsidRPr="00DA43E9" w:rsidRDefault="00DA43E9" w:rsidP="00DA43E9">
            <w:r w:rsidRPr="00DA43E9">
              <w:t>Hasta 50.000 €</w:t>
            </w:r>
          </w:p>
        </w:tc>
      </w:tr>
      <w:tr w:rsidR="00DA43E9" w:rsidRPr="00DA43E9" w14:paraId="60A7A57B" w14:textId="77777777" w:rsidTr="00DA43E9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6FB36892" w14:textId="77777777" w:rsidR="00DA43E9" w:rsidRPr="00DA43E9" w:rsidRDefault="00DA43E9" w:rsidP="00DA43E9">
            <w:r w:rsidRPr="00DA43E9">
              <w:t>Redes ICTS</w:t>
            </w:r>
          </w:p>
        </w:tc>
        <w:tc>
          <w:tcPr>
            <w:tcW w:w="3924" w:type="dxa"/>
            <w:vAlign w:val="center"/>
            <w:hideMark/>
          </w:tcPr>
          <w:p w14:paraId="50BF9443" w14:textId="77777777" w:rsidR="00DA43E9" w:rsidRPr="00DA43E9" w:rsidRDefault="00DA43E9" w:rsidP="00DA43E9">
            <w:r w:rsidRPr="00DA43E9">
              <w:t>Hasta 150.000 €</w:t>
            </w:r>
          </w:p>
        </w:tc>
      </w:tr>
      <w:tr w:rsidR="00DA43E9" w:rsidRPr="00DA43E9" w14:paraId="04062D34" w14:textId="77777777" w:rsidTr="00DA43E9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1A84430B" w14:textId="77777777" w:rsidR="00DA43E9" w:rsidRPr="00DA43E9" w:rsidRDefault="00DA43E9" w:rsidP="00DA43E9">
            <w:r w:rsidRPr="00DA43E9">
              <w:t>Redes Estratégicas</w:t>
            </w:r>
          </w:p>
        </w:tc>
        <w:tc>
          <w:tcPr>
            <w:tcW w:w="3924" w:type="dxa"/>
            <w:vAlign w:val="center"/>
            <w:hideMark/>
          </w:tcPr>
          <w:p w14:paraId="5F0CAAED" w14:textId="77777777" w:rsidR="00DA43E9" w:rsidRPr="00DA43E9" w:rsidRDefault="00DA43E9" w:rsidP="00DA43E9">
            <w:r w:rsidRPr="00DA43E9">
              <w:t>Hasta 150.000 €</w:t>
            </w:r>
          </w:p>
        </w:tc>
      </w:tr>
      <w:tr w:rsidR="00DA43E9" w:rsidRPr="00DA43E9" w14:paraId="0DD2CF55" w14:textId="77777777" w:rsidTr="00DA43E9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7C00D4F7" w14:textId="77777777" w:rsidR="00DA43E9" w:rsidRPr="00DA43E9" w:rsidRDefault="00DA43E9" w:rsidP="00DA43E9">
            <w:r w:rsidRPr="00DA43E9">
              <w:t>Redes de Planes Complementarios</w:t>
            </w:r>
          </w:p>
        </w:tc>
        <w:tc>
          <w:tcPr>
            <w:tcW w:w="3924" w:type="dxa"/>
            <w:vAlign w:val="center"/>
            <w:hideMark/>
          </w:tcPr>
          <w:p w14:paraId="46F706F5" w14:textId="77777777" w:rsidR="00DA43E9" w:rsidRPr="00DA43E9" w:rsidRDefault="00DA43E9" w:rsidP="00DA43E9">
            <w:r w:rsidRPr="00DA43E9">
              <w:t>Hasta 200.000 €</w:t>
            </w:r>
          </w:p>
        </w:tc>
      </w:tr>
    </w:tbl>
    <w:p w14:paraId="7153F543" w14:textId="77777777" w:rsidR="00DA43E9" w:rsidRPr="00DA43E9" w:rsidRDefault="00DA43E9" w:rsidP="00DA43E9">
      <w:pPr>
        <w:spacing w:before="0" w:after="0"/>
      </w:pPr>
      <w:r w:rsidRPr="00DA43E9">
        <w:rPr>
          <w:b/>
          <w:bCs/>
        </w:rPr>
        <w:t>Presupuesto mínimo solicitado:</w:t>
      </w:r>
      <w:r w:rsidRPr="00DA43E9">
        <w:t xml:space="preserve"> 20.000 €.</w:t>
      </w:r>
    </w:p>
    <w:p w14:paraId="70C843B5" w14:textId="75F33AD3" w:rsidR="009F71E5" w:rsidRPr="009F71E5" w:rsidRDefault="00DA43E9" w:rsidP="00DA43E9">
      <w:pPr>
        <w:spacing w:before="0" w:after="0"/>
        <w:rPr>
          <w:b/>
          <w:bCs/>
        </w:rPr>
      </w:pPr>
      <w:r w:rsidRPr="00DA43E9">
        <w:t>La financiación está destinada exclusivamente a actividades de coordinación y funcionamiento de la red.</w:t>
      </w:r>
    </w:p>
    <w:p w14:paraId="472BA959" w14:textId="05684772" w:rsidR="00A65AE9" w:rsidRDefault="00EE23DF" w:rsidP="009F71E5">
      <w:pPr>
        <w:spacing w:before="0" w:after="0" w:line="240" w:lineRule="auto"/>
        <w:rPr>
          <w:noProof/>
        </w:rPr>
      </w:pPr>
      <w:r>
        <w:rPr>
          <w:noProof/>
        </w:rPr>
        <w:pict w14:anchorId="05CFC20A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14:paraId="4D35933D" w14:textId="58E43B63" w:rsidR="009F71E5" w:rsidRDefault="009F71E5" w:rsidP="009F71E5">
      <w:pPr>
        <w:pStyle w:val="Ttulo3"/>
        <w:spacing w:line="240" w:lineRule="auto"/>
      </w:pPr>
      <w:r>
        <w:rPr>
          <w:rStyle w:val="Textoennegrita"/>
          <w:b w:val="0"/>
          <w:bCs w:val="0"/>
        </w:rPr>
        <w:t xml:space="preserve">6. </w:t>
      </w:r>
      <w:r w:rsidR="00DA43E9" w:rsidRPr="00DA43E9">
        <w:t>Gastos financiables</w:t>
      </w:r>
    </w:p>
    <w:p w14:paraId="77DF50A2" w14:textId="77777777" w:rsidR="00EE23DF" w:rsidRPr="00EE23DF" w:rsidRDefault="00EE23DF" w:rsidP="00EE23DF">
      <w:pPr>
        <w:spacing w:after="0" w:line="240" w:lineRule="auto"/>
      </w:pPr>
      <w:r w:rsidRPr="00EE23DF">
        <w:t>Entre otros conceptos, podrán financiarse:</w:t>
      </w:r>
    </w:p>
    <w:p w14:paraId="4D254AEA" w14:textId="77777777" w:rsidR="00EE23DF" w:rsidRPr="00EE23DF" w:rsidRDefault="00EE23DF" w:rsidP="00EE23DF">
      <w:pPr>
        <w:numPr>
          <w:ilvl w:val="0"/>
          <w:numId w:val="33"/>
        </w:numPr>
        <w:spacing w:before="0" w:after="0" w:line="240" w:lineRule="auto"/>
      </w:pPr>
      <w:r w:rsidRPr="00EE23DF">
        <w:t xml:space="preserve">Organización de reuniones científicas y actividades de coordinación. </w:t>
      </w:r>
    </w:p>
    <w:p w14:paraId="2AB7DAC9" w14:textId="77777777" w:rsidR="00EE23DF" w:rsidRPr="00EE23DF" w:rsidRDefault="00EE23DF" w:rsidP="00EE23DF">
      <w:pPr>
        <w:numPr>
          <w:ilvl w:val="0"/>
          <w:numId w:val="33"/>
        </w:numPr>
        <w:spacing w:before="0" w:after="0" w:line="240" w:lineRule="auto"/>
      </w:pPr>
      <w:r w:rsidRPr="00EE23DF">
        <w:t xml:space="preserve">Talleres, seminarios y jornadas técnicas. </w:t>
      </w:r>
    </w:p>
    <w:p w14:paraId="6A511A72" w14:textId="77777777" w:rsidR="00EE23DF" w:rsidRPr="00EE23DF" w:rsidRDefault="00EE23DF" w:rsidP="00EE23DF">
      <w:pPr>
        <w:numPr>
          <w:ilvl w:val="0"/>
          <w:numId w:val="33"/>
        </w:numPr>
        <w:spacing w:before="0" w:after="0" w:line="240" w:lineRule="auto"/>
      </w:pPr>
      <w:r w:rsidRPr="00EE23DF">
        <w:t xml:space="preserve">Actividades de difusión y transferencia. </w:t>
      </w:r>
    </w:p>
    <w:p w14:paraId="447087EB" w14:textId="77777777" w:rsidR="00EE23DF" w:rsidRPr="00EE23DF" w:rsidRDefault="00EE23DF" w:rsidP="00EE23DF">
      <w:pPr>
        <w:numPr>
          <w:ilvl w:val="0"/>
          <w:numId w:val="33"/>
        </w:numPr>
        <w:spacing w:before="0" w:after="0" w:line="240" w:lineRule="auto"/>
      </w:pPr>
      <w:r w:rsidRPr="00EE23DF">
        <w:t xml:space="preserve">Gastos de movilidad vinculados a las actividades de la red. </w:t>
      </w:r>
    </w:p>
    <w:p w14:paraId="2C1B098E" w14:textId="77777777" w:rsidR="00EE23DF" w:rsidRPr="00EE23DF" w:rsidRDefault="00EE23DF" w:rsidP="00EE23DF">
      <w:pPr>
        <w:numPr>
          <w:ilvl w:val="0"/>
          <w:numId w:val="33"/>
        </w:numPr>
        <w:spacing w:before="0" w:after="0" w:line="240" w:lineRule="auto"/>
      </w:pPr>
      <w:r w:rsidRPr="00EE23DF">
        <w:t xml:space="preserve">Acciones para la preparación de proyectos colaborativos nacionales e internacionales. </w:t>
      </w:r>
    </w:p>
    <w:p w14:paraId="244A557E" w14:textId="77777777" w:rsidR="00EE23DF" w:rsidRPr="00EE23DF" w:rsidRDefault="00EE23DF" w:rsidP="00EE23DF">
      <w:pPr>
        <w:spacing w:after="0" w:line="240" w:lineRule="auto"/>
      </w:pPr>
      <w:r w:rsidRPr="00EE23DF">
        <w:rPr>
          <w:b/>
          <w:bCs/>
        </w:rPr>
        <w:t>No serán financiables:</w:t>
      </w:r>
    </w:p>
    <w:p w14:paraId="52BE927F" w14:textId="77777777" w:rsidR="00EE23DF" w:rsidRPr="00EE23DF" w:rsidRDefault="00EE23DF" w:rsidP="00EE23DF">
      <w:pPr>
        <w:numPr>
          <w:ilvl w:val="0"/>
          <w:numId w:val="34"/>
        </w:numPr>
        <w:spacing w:before="0" w:after="0" w:line="240" w:lineRule="auto"/>
      </w:pPr>
      <w:r w:rsidRPr="00EE23DF">
        <w:t xml:space="preserve">Proyectos de investigación propiamente dichos. </w:t>
      </w:r>
    </w:p>
    <w:p w14:paraId="7406F62A" w14:textId="77777777" w:rsidR="00EE23DF" w:rsidRPr="00EE23DF" w:rsidRDefault="00EE23DF" w:rsidP="00EE23DF">
      <w:pPr>
        <w:numPr>
          <w:ilvl w:val="0"/>
          <w:numId w:val="34"/>
        </w:numPr>
        <w:spacing w:before="0" w:after="0" w:line="240" w:lineRule="auto"/>
      </w:pPr>
      <w:r w:rsidRPr="00EE23DF">
        <w:t xml:space="preserve">Equipamiento científico inventariable. </w:t>
      </w:r>
    </w:p>
    <w:p w14:paraId="4A1E95E7" w14:textId="77777777" w:rsidR="00EE23DF" w:rsidRPr="00EE23DF" w:rsidRDefault="00EE23DF" w:rsidP="00EE23DF">
      <w:pPr>
        <w:numPr>
          <w:ilvl w:val="0"/>
          <w:numId w:val="34"/>
        </w:numPr>
        <w:spacing w:before="0" w:after="0" w:line="240" w:lineRule="auto"/>
      </w:pPr>
      <w:r w:rsidRPr="00EE23DF">
        <w:t>Costes indirectos u otros gastos expresamente excluidos por la convocatoria.</w:t>
      </w:r>
    </w:p>
    <w:p w14:paraId="7D16041C" w14:textId="77777777" w:rsidR="009F71E5" w:rsidRDefault="00EE23DF" w:rsidP="009F71E5">
      <w:pPr>
        <w:spacing w:before="0" w:after="0" w:line="240" w:lineRule="auto"/>
      </w:pPr>
      <w:r>
        <w:rPr>
          <w:noProof/>
        </w:rPr>
        <w:pict w14:anchorId="0E53A060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14:paraId="50A8A746" w14:textId="54770515" w:rsidR="009F71E5" w:rsidRDefault="009F71E5" w:rsidP="009F71E5">
      <w:pPr>
        <w:pStyle w:val="Ttulo3"/>
        <w:spacing w:line="240" w:lineRule="auto"/>
      </w:pPr>
      <w:r>
        <w:rPr>
          <w:rStyle w:val="Textoennegrita"/>
          <w:b w:val="0"/>
          <w:bCs w:val="0"/>
        </w:rPr>
        <w:t xml:space="preserve">7. </w:t>
      </w:r>
      <w:r w:rsidR="00EE23DF" w:rsidRPr="00EE23DF">
        <w:t>Documentación requerida</w:t>
      </w:r>
    </w:p>
    <w:p w14:paraId="0C5AFE4C" w14:textId="77777777" w:rsidR="00EE23DF" w:rsidRDefault="00EE23DF" w:rsidP="00EE23DF">
      <w:pPr>
        <w:spacing w:after="0" w:line="240" w:lineRule="auto"/>
      </w:pPr>
      <w:r>
        <w:t>La solicitud se presentará de forma telemática e incluirá, entre otros documentos:</w:t>
      </w:r>
    </w:p>
    <w:p w14:paraId="19DA6315" w14:textId="77777777" w:rsidR="00EE23DF" w:rsidRDefault="00EE23DF" w:rsidP="00EE23DF">
      <w:pPr>
        <w:numPr>
          <w:ilvl w:val="0"/>
          <w:numId w:val="24"/>
        </w:numPr>
        <w:spacing w:before="0" w:after="0" w:line="240" w:lineRule="auto"/>
      </w:pPr>
      <w:r>
        <w:t xml:space="preserve">Memoria científico-técnica de la red. </w:t>
      </w:r>
    </w:p>
    <w:p w14:paraId="6A17E7D1" w14:textId="77777777" w:rsidR="00EE23DF" w:rsidRDefault="00EE23DF" w:rsidP="00EE23DF">
      <w:pPr>
        <w:numPr>
          <w:ilvl w:val="0"/>
          <w:numId w:val="24"/>
        </w:numPr>
        <w:spacing w:before="0" w:after="0" w:line="240" w:lineRule="auto"/>
      </w:pPr>
      <w:r>
        <w:t xml:space="preserve">Información de los grupos participantes. </w:t>
      </w:r>
    </w:p>
    <w:p w14:paraId="3225348D" w14:textId="77777777" w:rsidR="00EE23DF" w:rsidRDefault="00EE23DF" w:rsidP="00EE23DF">
      <w:pPr>
        <w:numPr>
          <w:ilvl w:val="0"/>
          <w:numId w:val="24"/>
        </w:numPr>
        <w:spacing w:before="0" w:after="0" w:line="240" w:lineRule="auto"/>
      </w:pPr>
      <w:r>
        <w:lastRenderedPageBreak/>
        <w:t xml:space="preserve">Datos de la persona coordinadora. </w:t>
      </w:r>
    </w:p>
    <w:p w14:paraId="585DCB81" w14:textId="77777777" w:rsidR="00EE23DF" w:rsidRDefault="00EE23DF" w:rsidP="00EE23DF">
      <w:pPr>
        <w:numPr>
          <w:ilvl w:val="0"/>
          <w:numId w:val="24"/>
        </w:numPr>
        <w:spacing w:before="0" w:after="0" w:line="240" w:lineRule="auto"/>
      </w:pPr>
      <w:r>
        <w:t xml:space="preserve">Presupuesto detallado. </w:t>
      </w:r>
    </w:p>
    <w:p w14:paraId="59140179" w14:textId="3B6A2036" w:rsidR="00654D68" w:rsidRPr="00654D68" w:rsidRDefault="00EE23DF" w:rsidP="00EE23DF">
      <w:pPr>
        <w:numPr>
          <w:ilvl w:val="0"/>
          <w:numId w:val="24"/>
        </w:numPr>
        <w:spacing w:before="0" w:after="0" w:line="240" w:lineRule="auto"/>
      </w:pPr>
      <w:r>
        <w:t>Documentación administrativa exigida por la convocatoria.</w:t>
      </w:r>
    </w:p>
    <w:p w14:paraId="1020E153" w14:textId="10DA56A0" w:rsidR="009F71E5" w:rsidRDefault="00EE23DF" w:rsidP="00A65AE9">
      <w:pPr>
        <w:spacing w:before="0" w:after="0" w:line="240" w:lineRule="auto"/>
      </w:pPr>
      <w:r>
        <w:rPr>
          <w:noProof/>
        </w:rPr>
        <w:pict w14:anchorId="393C32D4">
          <v:rect id="_x0000_i1040" alt="" style="width:450.85pt;height:.05pt;mso-width-percent:0;mso-height-percent:0;mso-width-percent:0;mso-height-percent:0" o:hrpct="999" o:hralign="center" o:hrstd="t" o:hr="t" fillcolor="#a0a0a0" stroked="f"/>
        </w:pict>
      </w:r>
    </w:p>
    <w:p w14:paraId="5870F0E3" w14:textId="25187740" w:rsidR="009F71E5" w:rsidRDefault="00654D68" w:rsidP="009F71E5">
      <w:pPr>
        <w:pStyle w:val="Ttulo3"/>
        <w:spacing w:line="240" w:lineRule="auto"/>
      </w:pPr>
      <w:r>
        <w:rPr>
          <w:rStyle w:val="Textoennegrita"/>
          <w:b w:val="0"/>
          <w:bCs w:val="0"/>
        </w:rPr>
        <w:t>8</w:t>
      </w:r>
      <w:r w:rsidR="009F71E5">
        <w:rPr>
          <w:rStyle w:val="Textoennegrita"/>
          <w:b w:val="0"/>
          <w:bCs w:val="0"/>
        </w:rPr>
        <w:t xml:space="preserve">. </w:t>
      </w:r>
      <w:r w:rsidR="00EE23DF" w:rsidRPr="00EE23DF">
        <w:t>Fechas clave</w:t>
      </w:r>
    </w:p>
    <w:p w14:paraId="4B1103B9" w14:textId="38A4C525" w:rsidR="00EE23DF" w:rsidRDefault="00EE23DF" w:rsidP="00EE23DF">
      <w:pPr>
        <w:pStyle w:val="isselectedend"/>
        <w:spacing w:after="0" w:afterAutospacing="0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EE23DF">
        <w:rPr>
          <w:rFonts w:asciiTheme="minorHAnsi" w:eastAsiaTheme="minorEastAsia" w:hAnsiTheme="minorHAnsi" w:cstheme="minorBidi"/>
          <w:b/>
          <w:bCs/>
          <w:sz w:val="20"/>
          <w:szCs w:val="20"/>
          <w:lang w:eastAsia="en-US"/>
        </w:rPr>
        <w:t>Apertura</w:t>
      </w:r>
      <w:r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de solicitudes: 10 de junio de 2026</w:t>
      </w:r>
    </w:p>
    <w:p w14:paraId="2AF2B536" w14:textId="33C13A3D" w:rsidR="00654D68" w:rsidRDefault="00EE23DF" w:rsidP="00EE23DF">
      <w:pPr>
        <w:pStyle w:val="isselectedend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EE23DF">
        <w:rPr>
          <w:rFonts w:asciiTheme="minorHAnsi" w:eastAsiaTheme="minorEastAsia" w:hAnsiTheme="minorHAnsi" w:cstheme="minorBidi"/>
          <w:b/>
          <w:bCs/>
          <w:sz w:val="20"/>
          <w:szCs w:val="20"/>
          <w:lang w:eastAsia="en-US"/>
        </w:rPr>
        <w:t>Cierre</w:t>
      </w:r>
      <w:r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de solicitudes: 1 de julio de 2026</w:t>
      </w:r>
    </w:p>
    <w:p w14:paraId="46A02258" w14:textId="4955203F" w:rsidR="00EE23DF" w:rsidRDefault="00EE23DF" w:rsidP="00EE23DF">
      <w:pPr>
        <w:pStyle w:val="isselectedend"/>
        <w:spacing w:before="0" w:beforeAutospacing="0"/>
        <w:rPr>
          <w:noProof/>
        </w:rPr>
      </w:pPr>
      <w:r>
        <w:rPr>
          <w:noProof/>
        </w:rPr>
        <w:pict w14:anchorId="3F2353DD">
          <v:rect id="_x0000_i1041" alt="" style="width:450.85pt;height:.05pt;mso-width-percent:0;mso-height-percent:0;mso-width-percent:0;mso-height-percent:0" o:hrpct="999" o:hralign="center" o:hrstd="t" o:hr="t" fillcolor="#a0a0a0" stroked="f"/>
        </w:pict>
      </w:r>
    </w:p>
    <w:p w14:paraId="09EDE5FC" w14:textId="7E5C1FCB" w:rsidR="00EE23DF" w:rsidRDefault="00EE23DF" w:rsidP="00EE23DF">
      <w:pPr>
        <w:pStyle w:val="Ttulo3"/>
        <w:spacing w:line="240" w:lineRule="auto"/>
      </w:pPr>
      <w:r>
        <w:rPr>
          <w:rStyle w:val="Textoennegrita"/>
          <w:b w:val="0"/>
          <w:bCs w:val="0"/>
        </w:rPr>
        <w:t>9</w:t>
      </w:r>
      <w:r>
        <w:rPr>
          <w:rStyle w:val="Textoennegrita"/>
          <w:b w:val="0"/>
          <w:bCs w:val="0"/>
        </w:rPr>
        <w:t xml:space="preserve">. </w:t>
      </w:r>
      <w:r w:rsidRPr="00EE23DF">
        <w:t>Criterios de evaluación</w:t>
      </w:r>
    </w:p>
    <w:p w14:paraId="28467F83" w14:textId="77777777" w:rsidR="00EE23DF" w:rsidRPr="00EE23DF" w:rsidRDefault="00EE23DF" w:rsidP="00EE23DF">
      <w:pPr>
        <w:pStyle w:val="isselectedend"/>
        <w:spacing w:before="0" w:after="0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EE23DF">
        <w:rPr>
          <w:rFonts w:asciiTheme="minorHAnsi" w:eastAsiaTheme="minorEastAsia" w:hAnsiTheme="minorHAnsi" w:cstheme="minorBidi"/>
          <w:sz w:val="20"/>
          <w:szCs w:val="20"/>
          <w:lang w:eastAsia="en-US"/>
        </w:rPr>
        <w:t>Las propuestas serán evaluadas considerando:</w:t>
      </w:r>
    </w:p>
    <w:p w14:paraId="0750142E" w14:textId="77777777" w:rsidR="00EE23DF" w:rsidRDefault="00EE23DF" w:rsidP="00EE23DF">
      <w:pPr>
        <w:pStyle w:val="isselectedend"/>
        <w:numPr>
          <w:ilvl w:val="0"/>
          <w:numId w:val="35"/>
        </w:numPr>
        <w:spacing w:before="0" w:after="0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EE23DF">
        <w:rPr>
          <w:rFonts w:asciiTheme="minorHAnsi" w:eastAsiaTheme="minorEastAsia" w:hAnsiTheme="minorHAnsi" w:cstheme="minorBidi"/>
          <w:sz w:val="20"/>
          <w:szCs w:val="20"/>
          <w:lang w:eastAsia="en-US"/>
        </w:rPr>
        <w:t>Calidad científico-técnica de la red.</w:t>
      </w:r>
    </w:p>
    <w:p w14:paraId="5DEC728F" w14:textId="77777777" w:rsidR="00EE23DF" w:rsidRDefault="00EE23DF" w:rsidP="00EE23DF">
      <w:pPr>
        <w:pStyle w:val="isselectedend"/>
        <w:numPr>
          <w:ilvl w:val="0"/>
          <w:numId w:val="35"/>
        </w:numPr>
        <w:spacing w:before="0" w:after="0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EE23DF">
        <w:rPr>
          <w:rFonts w:asciiTheme="minorHAnsi" w:eastAsiaTheme="minorEastAsia" w:hAnsiTheme="minorHAnsi" w:cstheme="minorBidi"/>
          <w:sz w:val="20"/>
          <w:szCs w:val="20"/>
          <w:lang w:eastAsia="en-US"/>
        </w:rPr>
        <w:t>Complementariedad y excelencia de los grupos participantes.</w:t>
      </w:r>
    </w:p>
    <w:p w14:paraId="2F6FD24D" w14:textId="77777777" w:rsidR="00EE23DF" w:rsidRDefault="00EE23DF" w:rsidP="00EE23DF">
      <w:pPr>
        <w:pStyle w:val="isselectedend"/>
        <w:numPr>
          <w:ilvl w:val="0"/>
          <w:numId w:val="35"/>
        </w:numPr>
        <w:spacing w:before="0" w:after="0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EE23DF">
        <w:rPr>
          <w:rFonts w:asciiTheme="minorHAnsi" w:eastAsiaTheme="minorEastAsia" w:hAnsiTheme="minorHAnsi" w:cstheme="minorBidi"/>
          <w:sz w:val="20"/>
          <w:szCs w:val="20"/>
          <w:lang w:eastAsia="en-US"/>
        </w:rPr>
        <w:t>Valor añadido de la colaboración propuesta.</w:t>
      </w:r>
    </w:p>
    <w:p w14:paraId="188C8803" w14:textId="77777777" w:rsidR="00EE23DF" w:rsidRDefault="00EE23DF" w:rsidP="00EE23DF">
      <w:pPr>
        <w:pStyle w:val="isselectedend"/>
        <w:numPr>
          <w:ilvl w:val="0"/>
          <w:numId w:val="35"/>
        </w:numPr>
        <w:spacing w:before="0" w:after="0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EE23DF">
        <w:rPr>
          <w:rFonts w:asciiTheme="minorHAnsi" w:eastAsiaTheme="minorEastAsia" w:hAnsiTheme="minorHAnsi" w:cstheme="minorBidi"/>
          <w:sz w:val="20"/>
          <w:szCs w:val="20"/>
          <w:lang w:eastAsia="en-US"/>
        </w:rPr>
        <w:t>Capacidad de generar nuevas iniciativas científicas y de transferencia.</w:t>
      </w:r>
    </w:p>
    <w:p w14:paraId="1E477DAE" w14:textId="77777777" w:rsidR="00EE23DF" w:rsidRDefault="00EE23DF" w:rsidP="005C72BF">
      <w:pPr>
        <w:pStyle w:val="isselectedend"/>
        <w:numPr>
          <w:ilvl w:val="0"/>
          <w:numId w:val="35"/>
        </w:numPr>
        <w:spacing w:before="0" w:beforeAutospacing="0" w:after="0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EE23DF">
        <w:rPr>
          <w:rFonts w:asciiTheme="minorHAnsi" w:eastAsiaTheme="minorEastAsia" w:hAnsiTheme="minorHAnsi" w:cstheme="minorBidi"/>
          <w:sz w:val="20"/>
          <w:szCs w:val="20"/>
          <w:lang w:eastAsia="en-US"/>
        </w:rPr>
        <w:t>Impacto esperado sobre la comunidad investigadora y el sistema de I+D+i.</w:t>
      </w:r>
    </w:p>
    <w:p w14:paraId="66078B0C" w14:textId="700C2DD7" w:rsidR="00EE23DF" w:rsidRPr="00EE23DF" w:rsidRDefault="00EE23DF" w:rsidP="00EE23DF">
      <w:pPr>
        <w:pStyle w:val="isselectedend"/>
        <w:spacing w:before="0" w:beforeAutospacing="0" w:after="0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noProof/>
        </w:rPr>
        <w:pict w14:anchorId="3DDAB210">
          <v:rect id="_x0000_i1042" alt="" style="width:450.85pt;height:.05pt;mso-width-percent:0;mso-height-percent:0;mso-width-percent:0;mso-height-percent:0" o:hrpct="999" o:hralign="center" o:hrstd="t" o:hr="t" fillcolor="#a0a0a0" stroked="f"/>
        </w:pict>
      </w:r>
    </w:p>
    <w:p w14:paraId="2EF36B96" w14:textId="60D5AC70" w:rsidR="009F71E5" w:rsidRDefault="009F71E5" w:rsidP="009F71E5">
      <w:pPr>
        <w:pStyle w:val="Ttulo3"/>
        <w:spacing w:line="240" w:lineRule="auto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10. Convocatoria</w:t>
      </w:r>
    </w:p>
    <w:p w14:paraId="728976A5" w14:textId="3906D08B" w:rsidR="00975820" w:rsidRDefault="009F71E5" w:rsidP="009F71E5">
      <w:r>
        <w:t xml:space="preserve">Bases de la convocatoria </w:t>
      </w:r>
      <w:r w:rsidR="00EE23DF">
        <w:t>(</w:t>
      </w:r>
      <w:hyperlink r:id="rId7" w:history="1">
        <w:r w:rsidR="00EE23DF" w:rsidRPr="00EE23DF">
          <w:rPr>
            <w:rStyle w:val="Hipervnculo"/>
          </w:rPr>
          <w:t>Redes de Investigación 2026 | Agencia Estatal de Investigación</w:t>
        </w:r>
      </w:hyperlink>
      <w:r w:rsidR="00654D68">
        <w:t xml:space="preserve">) </w:t>
      </w:r>
      <w:r w:rsidR="00A65AE9">
        <w:t xml:space="preserve"> </w:t>
      </w:r>
    </w:p>
    <w:p w14:paraId="1C3440C9" w14:textId="77777777" w:rsidR="00640C2A" w:rsidRDefault="00640C2A" w:rsidP="009F71E5"/>
    <w:p w14:paraId="2565A109" w14:textId="77777777" w:rsidR="009F71E5" w:rsidRPr="009F71E5" w:rsidRDefault="009F71E5" w:rsidP="009F71E5"/>
    <w:sectPr w:rsidR="009F71E5" w:rsidRPr="009F71E5" w:rsidSect="0074050C">
      <w:headerReference w:type="default" r:id="rId8"/>
      <w:pgSz w:w="11900" w:h="16840"/>
      <w:pgMar w:top="1440" w:right="1440" w:bottom="1440" w:left="1440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C18E" w14:textId="77777777" w:rsidR="001C475B" w:rsidRDefault="001C475B" w:rsidP="0074050C">
      <w:pPr>
        <w:spacing w:before="0" w:after="0" w:line="240" w:lineRule="auto"/>
      </w:pPr>
      <w:r>
        <w:separator/>
      </w:r>
    </w:p>
  </w:endnote>
  <w:endnote w:type="continuationSeparator" w:id="0">
    <w:p w14:paraId="4A3B8B34" w14:textId="77777777" w:rsidR="001C475B" w:rsidRDefault="001C475B" w:rsidP="007405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0D13" w14:textId="77777777" w:rsidR="001C475B" w:rsidRDefault="001C475B" w:rsidP="0074050C">
      <w:pPr>
        <w:spacing w:before="0" w:after="0" w:line="240" w:lineRule="auto"/>
      </w:pPr>
      <w:r>
        <w:separator/>
      </w:r>
    </w:p>
  </w:footnote>
  <w:footnote w:type="continuationSeparator" w:id="0">
    <w:p w14:paraId="789B585D" w14:textId="77777777" w:rsidR="001C475B" w:rsidRDefault="001C475B" w:rsidP="007405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86AC" w14:textId="6D340373" w:rsidR="0074050C" w:rsidRDefault="0074050C">
    <w:pPr>
      <w:pStyle w:val="Encabezado"/>
    </w:pPr>
    <w:r w:rsidRPr="0074050C">
      <w:rPr>
        <w:noProof/>
      </w:rPr>
      <w:drawing>
        <wp:inline distT="0" distB="0" distL="0" distR="0" wp14:anchorId="7F7549AF" wp14:editId="2AC27BA1">
          <wp:extent cx="1746504" cy="506829"/>
          <wp:effectExtent l="0" t="0" r="0" b="1270"/>
          <wp:docPr id="7823531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3531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321" cy="523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B9C"/>
    <w:multiLevelType w:val="multilevel"/>
    <w:tmpl w:val="3ED2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104D"/>
    <w:multiLevelType w:val="hybridMultilevel"/>
    <w:tmpl w:val="0D2EE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C725C"/>
    <w:multiLevelType w:val="hybridMultilevel"/>
    <w:tmpl w:val="08F87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5DD2"/>
    <w:multiLevelType w:val="multilevel"/>
    <w:tmpl w:val="FCD2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C3B24"/>
    <w:multiLevelType w:val="multilevel"/>
    <w:tmpl w:val="352A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2699"/>
    <w:multiLevelType w:val="multilevel"/>
    <w:tmpl w:val="F1C8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178D7"/>
    <w:multiLevelType w:val="multilevel"/>
    <w:tmpl w:val="636E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E2B99"/>
    <w:multiLevelType w:val="hybridMultilevel"/>
    <w:tmpl w:val="71B22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96647"/>
    <w:multiLevelType w:val="multilevel"/>
    <w:tmpl w:val="11D8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52695"/>
    <w:multiLevelType w:val="multilevel"/>
    <w:tmpl w:val="C35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22862"/>
    <w:multiLevelType w:val="multilevel"/>
    <w:tmpl w:val="CE60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EA7763"/>
    <w:multiLevelType w:val="multilevel"/>
    <w:tmpl w:val="CF7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457B5"/>
    <w:multiLevelType w:val="multilevel"/>
    <w:tmpl w:val="1FD2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21F7A"/>
    <w:multiLevelType w:val="multilevel"/>
    <w:tmpl w:val="9C86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82F8E"/>
    <w:multiLevelType w:val="multilevel"/>
    <w:tmpl w:val="46C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20CD9"/>
    <w:multiLevelType w:val="multilevel"/>
    <w:tmpl w:val="1DCC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24686"/>
    <w:multiLevelType w:val="multilevel"/>
    <w:tmpl w:val="6DB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F71FF"/>
    <w:multiLevelType w:val="hybridMultilevel"/>
    <w:tmpl w:val="485EB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A4BCE"/>
    <w:multiLevelType w:val="multilevel"/>
    <w:tmpl w:val="AE14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F0359"/>
    <w:multiLevelType w:val="multilevel"/>
    <w:tmpl w:val="34E0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7F5AA6"/>
    <w:multiLevelType w:val="multilevel"/>
    <w:tmpl w:val="B94C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143DB"/>
    <w:multiLevelType w:val="multilevel"/>
    <w:tmpl w:val="C220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9B7E43"/>
    <w:multiLevelType w:val="hybridMultilevel"/>
    <w:tmpl w:val="4582065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773B51"/>
    <w:multiLevelType w:val="hybridMultilevel"/>
    <w:tmpl w:val="87CAB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96B84"/>
    <w:multiLevelType w:val="hybridMultilevel"/>
    <w:tmpl w:val="CA92D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77120"/>
    <w:multiLevelType w:val="multilevel"/>
    <w:tmpl w:val="6F9E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82625"/>
    <w:multiLevelType w:val="multilevel"/>
    <w:tmpl w:val="24F0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5518A"/>
    <w:multiLevelType w:val="multilevel"/>
    <w:tmpl w:val="DEB8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5A758A"/>
    <w:multiLevelType w:val="multilevel"/>
    <w:tmpl w:val="1186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E1C0D"/>
    <w:multiLevelType w:val="multilevel"/>
    <w:tmpl w:val="B8E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2F038A"/>
    <w:multiLevelType w:val="multilevel"/>
    <w:tmpl w:val="EF68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10313E"/>
    <w:multiLevelType w:val="hybridMultilevel"/>
    <w:tmpl w:val="C76AD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4433E"/>
    <w:multiLevelType w:val="multilevel"/>
    <w:tmpl w:val="AD42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1D0720"/>
    <w:multiLevelType w:val="multilevel"/>
    <w:tmpl w:val="24EC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4C7546"/>
    <w:multiLevelType w:val="hybridMultilevel"/>
    <w:tmpl w:val="7F2E8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18267">
    <w:abstractNumId w:val="26"/>
  </w:num>
  <w:num w:numId="2" w16cid:durableId="772941669">
    <w:abstractNumId w:val="8"/>
  </w:num>
  <w:num w:numId="3" w16cid:durableId="893807780">
    <w:abstractNumId w:val="0"/>
  </w:num>
  <w:num w:numId="4" w16cid:durableId="2000621827">
    <w:abstractNumId w:val="12"/>
  </w:num>
  <w:num w:numId="5" w16cid:durableId="1644458213">
    <w:abstractNumId w:val="10"/>
  </w:num>
  <w:num w:numId="6" w16cid:durableId="217857728">
    <w:abstractNumId w:val="4"/>
  </w:num>
  <w:num w:numId="7" w16cid:durableId="1631397030">
    <w:abstractNumId w:val="29"/>
  </w:num>
  <w:num w:numId="8" w16cid:durableId="2070494390">
    <w:abstractNumId w:val="32"/>
  </w:num>
  <w:num w:numId="9" w16cid:durableId="366610088">
    <w:abstractNumId w:val="27"/>
  </w:num>
  <w:num w:numId="10" w16cid:durableId="1899978808">
    <w:abstractNumId w:val="7"/>
  </w:num>
  <w:num w:numId="11" w16cid:durableId="691105507">
    <w:abstractNumId w:val="22"/>
  </w:num>
  <w:num w:numId="12" w16cid:durableId="1844005425">
    <w:abstractNumId w:val="1"/>
  </w:num>
  <w:num w:numId="13" w16cid:durableId="2147120210">
    <w:abstractNumId w:val="28"/>
  </w:num>
  <w:num w:numId="14" w16cid:durableId="1306811255">
    <w:abstractNumId w:val="18"/>
  </w:num>
  <w:num w:numId="15" w16cid:durableId="465515661">
    <w:abstractNumId w:val="17"/>
  </w:num>
  <w:num w:numId="16" w16cid:durableId="735785930">
    <w:abstractNumId w:val="6"/>
  </w:num>
  <w:num w:numId="17" w16cid:durableId="2051370208">
    <w:abstractNumId w:val="2"/>
  </w:num>
  <w:num w:numId="18" w16cid:durableId="1364480967">
    <w:abstractNumId w:val="13"/>
  </w:num>
  <w:num w:numId="19" w16cid:durableId="1789199611">
    <w:abstractNumId w:val="16"/>
  </w:num>
  <w:num w:numId="20" w16cid:durableId="90399999">
    <w:abstractNumId w:val="24"/>
  </w:num>
  <w:num w:numId="21" w16cid:durableId="1352491626">
    <w:abstractNumId w:val="25"/>
  </w:num>
  <w:num w:numId="22" w16cid:durableId="22680559">
    <w:abstractNumId w:val="31"/>
  </w:num>
  <w:num w:numId="23" w16cid:durableId="1556158625">
    <w:abstractNumId w:val="30"/>
  </w:num>
  <w:num w:numId="24" w16cid:durableId="397675422">
    <w:abstractNumId w:val="20"/>
  </w:num>
  <w:num w:numId="25" w16cid:durableId="1298954987">
    <w:abstractNumId w:val="11"/>
  </w:num>
  <w:num w:numId="26" w16cid:durableId="2118988075">
    <w:abstractNumId w:val="34"/>
  </w:num>
  <w:num w:numId="27" w16cid:durableId="1415978953">
    <w:abstractNumId w:val="5"/>
  </w:num>
  <w:num w:numId="28" w16cid:durableId="1429932642">
    <w:abstractNumId w:val="9"/>
  </w:num>
  <w:num w:numId="29" w16cid:durableId="788428402">
    <w:abstractNumId w:val="33"/>
  </w:num>
  <w:num w:numId="30" w16cid:durableId="352532211">
    <w:abstractNumId w:val="19"/>
  </w:num>
  <w:num w:numId="31" w16cid:durableId="836574666">
    <w:abstractNumId w:val="15"/>
  </w:num>
  <w:num w:numId="32" w16cid:durableId="1018192956">
    <w:abstractNumId w:val="3"/>
  </w:num>
  <w:num w:numId="33" w16cid:durableId="607784498">
    <w:abstractNumId w:val="14"/>
  </w:num>
  <w:num w:numId="34" w16cid:durableId="7609857">
    <w:abstractNumId w:val="21"/>
  </w:num>
  <w:num w:numId="35" w16cid:durableId="5111881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E5"/>
    <w:rsid w:val="001C1774"/>
    <w:rsid w:val="001C475B"/>
    <w:rsid w:val="00265368"/>
    <w:rsid w:val="00363C91"/>
    <w:rsid w:val="00596BD9"/>
    <w:rsid w:val="00640C2A"/>
    <w:rsid w:val="006428ED"/>
    <w:rsid w:val="00654D68"/>
    <w:rsid w:val="006E44E8"/>
    <w:rsid w:val="00713F68"/>
    <w:rsid w:val="00723810"/>
    <w:rsid w:val="0074050C"/>
    <w:rsid w:val="007C4554"/>
    <w:rsid w:val="00844F74"/>
    <w:rsid w:val="00975820"/>
    <w:rsid w:val="009F71E5"/>
    <w:rsid w:val="00A65AE9"/>
    <w:rsid w:val="00BE73BE"/>
    <w:rsid w:val="00C72F11"/>
    <w:rsid w:val="00C740BD"/>
    <w:rsid w:val="00C82995"/>
    <w:rsid w:val="00CE0777"/>
    <w:rsid w:val="00D32E9D"/>
    <w:rsid w:val="00DA43E9"/>
    <w:rsid w:val="00EE23DF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517F281"/>
  <w15:chartTrackingRefBased/>
  <w15:docId w15:val="{43B2D311-2238-0641-A6A3-AF8A291F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1E5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F71E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71E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F71E5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F71E5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1E5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1E5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1E5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1E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1E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">
    <w:name w:val="subt"/>
    <w:basedOn w:val="Normal"/>
    <w:rsid w:val="006E44E8"/>
    <w:rPr>
      <w:color w:val="FF5599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71E5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9F71E5"/>
    <w:rPr>
      <w:caps/>
      <w:spacing w:val="15"/>
      <w:shd w:val="clear" w:color="auto" w:fill="C1E4F5" w:themeFill="accent1" w:themeFillTint="33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1E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F71E5"/>
    <w:rPr>
      <w:caps/>
      <w:color w:val="595959" w:themeColor="text1" w:themeTint="A6"/>
      <w:spacing w:val="10"/>
      <w:sz w:val="24"/>
      <w:szCs w:val="24"/>
    </w:rPr>
  </w:style>
  <w:style w:type="paragraph" w:styleId="Prrafodelista">
    <w:name w:val="List Paragraph"/>
    <w:basedOn w:val="Normal"/>
    <w:uiPriority w:val="34"/>
    <w:qFormat/>
    <w:rsid w:val="009F71E5"/>
    <w:pPr>
      <w:ind w:left="720"/>
      <w:contextualSpacing/>
    </w:pPr>
  </w:style>
  <w:style w:type="character" w:styleId="nfasisintenso">
    <w:name w:val="Intense Emphasis"/>
    <w:uiPriority w:val="21"/>
    <w:qFormat/>
    <w:rsid w:val="009F71E5"/>
    <w:rPr>
      <w:b/>
      <w:bCs/>
      <w:caps/>
      <w:color w:val="0A2F40" w:themeColor="accent1" w:themeShade="7F"/>
      <w:spacing w:val="10"/>
    </w:rPr>
  </w:style>
  <w:style w:type="character" w:styleId="Referenciaintensa">
    <w:name w:val="Intense Reference"/>
    <w:uiPriority w:val="32"/>
    <w:qFormat/>
    <w:rsid w:val="009F71E5"/>
    <w:rPr>
      <w:b/>
      <w:bCs/>
      <w:i/>
      <w:iCs/>
      <w:caps/>
      <w:color w:val="156082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009F71E5"/>
    <w:rPr>
      <w:caps/>
      <w:color w:val="0A2F4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9F71E5"/>
    <w:rPr>
      <w:caps/>
      <w:color w:val="0F4761" w:themeColor="accent1" w:themeShade="BF"/>
      <w:spacing w:val="10"/>
    </w:rPr>
  </w:style>
  <w:style w:type="paragraph" w:styleId="Textoindependiente">
    <w:name w:val="Body Text"/>
    <w:basedOn w:val="Normal"/>
    <w:link w:val="TextoindependienteCar"/>
    <w:uiPriority w:val="1"/>
    <w:rsid w:val="006E44E8"/>
    <w:pPr>
      <w:widowControl w:val="0"/>
      <w:autoSpaceDE w:val="0"/>
      <w:autoSpaceDN w:val="0"/>
      <w:spacing w:before="0" w:line="240" w:lineRule="auto"/>
    </w:pPr>
    <w:rPr>
      <w:rFonts w:ascii="Calibri" w:eastAsia="Calibri" w:hAnsi="Calibri" w:cs="Calibri"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44E8"/>
    <w:rPr>
      <w:rFonts w:ascii="Calibri" w:eastAsia="Calibri" w:hAnsi="Calibri" w:cs="Calibri"/>
      <w:sz w:val="17"/>
      <w:szCs w:val="17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1E5"/>
    <w:rPr>
      <w:caps/>
      <w:color w:val="0F476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1E5"/>
    <w:rPr>
      <w:caps/>
      <w:color w:val="0F476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1E5"/>
    <w:rPr>
      <w:caps/>
      <w:color w:val="0F476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1E5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1E5"/>
    <w:rPr>
      <w:i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F71E5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F71E5"/>
    <w:rPr>
      <w:caps/>
      <w:color w:val="156082" w:themeColor="accent1"/>
      <w:spacing w:val="10"/>
      <w:kern w:val="28"/>
      <w:sz w:val="52"/>
      <w:szCs w:val="52"/>
    </w:rPr>
  </w:style>
  <w:style w:type="paragraph" w:styleId="Cita">
    <w:name w:val="Quote"/>
    <w:basedOn w:val="Normal"/>
    <w:next w:val="Normal"/>
    <w:link w:val="CitaCar"/>
    <w:uiPriority w:val="29"/>
    <w:qFormat/>
    <w:rsid w:val="009F71E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F71E5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1E5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1E5"/>
    <w:rPr>
      <w:i/>
      <w:iCs/>
      <w:color w:val="156082" w:themeColor="accent1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F71E5"/>
    <w:rPr>
      <w:b/>
      <w:bCs/>
      <w:color w:val="0F4761" w:themeColor="accent1" w:themeShade="BF"/>
      <w:sz w:val="16"/>
      <w:szCs w:val="16"/>
    </w:rPr>
  </w:style>
  <w:style w:type="character" w:styleId="Textoennegrita">
    <w:name w:val="Strong"/>
    <w:uiPriority w:val="22"/>
    <w:qFormat/>
    <w:rsid w:val="009F71E5"/>
    <w:rPr>
      <w:b/>
      <w:bCs/>
    </w:rPr>
  </w:style>
  <w:style w:type="character" w:styleId="nfasis">
    <w:name w:val="Emphasis"/>
    <w:uiPriority w:val="20"/>
    <w:qFormat/>
    <w:rsid w:val="009F71E5"/>
    <w:rPr>
      <w:caps/>
      <w:color w:val="0A2F4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9F71E5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F71E5"/>
    <w:rPr>
      <w:sz w:val="20"/>
      <w:szCs w:val="20"/>
    </w:rPr>
  </w:style>
  <w:style w:type="character" w:styleId="nfasissutil">
    <w:name w:val="Subtle Emphasis"/>
    <w:uiPriority w:val="19"/>
    <w:qFormat/>
    <w:rsid w:val="009F71E5"/>
    <w:rPr>
      <w:i/>
      <w:iCs/>
      <w:color w:val="0A2F40" w:themeColor="accent1" w:themeShade="7F"/>
    </w:rPr>
  </w:style>
  <w:style w:type="character" w:styleId="Referenciasutil">
    <w:name w:val="Subtle Reference"/>
    <w:uiPriority w:val="31"/>
    <w:qFormat/>
    <w:rsid w:val="009F71E5"/>
    <w:rPr>
      <w:b/>
      <w:bCs/>
      <w:color w:val="156082" w:themeColor="accent1"/>
    </w:rPr>
  </w:style>
  <w:style w:type="character" w:styleId="Ttulodellibro">
    <w:name w:val="Book Title"/>
    <w:uiPriority w:val="33"/>
    <w:qFormat/>
    <w:rsid w:val="009F71E5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F71E5"/>
    <w:pPr>
      <w:outlineLvl w:val="9"/>
    </w:pPr>
  </w:style>
  <w:style w:type="paragraph" w:customStyle="1" w:styleId="isselectedend">
    <w:name w:val="isselectedend"/>
    <w:basedOn w:val="Normal"/>
    <w:rsid w:val="009F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9F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9F71E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71E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4050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50C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4050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5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ei.gob.es/convocatorias/buscador-convocatorias/redes-investigacion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Maldonado Yagüe</dc:creator>
  <cp:keywords/>
  <dc:description/>
  <cp:lastModifiedBy>Laura</cp:lastModifiedBy>
  <cp:revision>9</cp:revision>
  <dcterms:created xsi:type="dcterms:W3CDTF">2026-04-15T08:13:00Z</dcterms:created>
  <dcterms:modified xsi:type="dcterms:W3CDTF">2026-06-09T07:29:00Z</dcterms:modified>
</cp:coreProperties>
</file>